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7D13E12D"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Start w:id="14" w:name="_GoBack"/>
      <w:bookmarkEnd w:id="0"/>
      <w:bookmarkEnd w:id="1"/>
      <w:bookmarkEnd w:id="14"/>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C369941" w:rsidR="00E66558" w:rsidRDefault="007676BE">
            <w:pPr>
              <w:pStyle w:val="TableRow"/>
            </w:pPr>
            <w:r>
              <w:t xml:space="preserve">Pencalenick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DB68FE" w:rsidRDefault="009D71E8">
            <w:pPr>
              <w:pStyle w:val="TableRow"/>
            </w:pPr>
            <w:r w:rsidRPr="00DB68FE">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E89E333" w:rsidR="00E66558" w:rsidRDefault="00DB68FE">
            <w:pPr>
              <w:pStyle w:val="TableRow"/>
            </w:pPr>
            <w:r>
              <w:t>174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DB68FE" w:rsidRDefault="009D71E8">
            <w:pPr>
              <w:pStyle w:val="TableRow"/>
            </w:pPr>
            <w:r w:rsidRPr="00DB68FE">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23DC10B" w:rsidR="00E66558" w:rsidRDefault="00DB68FE">
            <w:pPr>
              <w:pStyle w:val="TableRow"/>
            </w:pPr>
            <w:r>
              <w:t>51%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2853589C" w:rsidR="00E66558" w:rsidRDefault="007676BE">
            <w:pPr>
              <w:pStyle w:val="TableRow"/>
            </w:pPr>
            <w:r>
              <w:t>2021 - 2022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4A2D99" w:rsidR="00E66558" w:rsidRDefault="002A432A">
            <w:pPr>
              <w:pStyle w:val="TableRow"/>
            </w:pPr>
            <w:r>
              <w:t>December</w:t>
            </w:r>
            <w:r w:rsidR="007676BE">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58D9BE0" w:rsidR="00E66558" w:rsidRDefault="002A432A">
            <w:pPr>
              <w:pStyle w:val="TableRow"/>
            </w:pPr>
            <w:r>
              <w:t xml:space="preserve">Summer </w:t>
            </w:r>
            <w:r w:rsidR="007676BE">
              <w:t>Term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36B4091" w:rsidR="00E66558" w:rsidRDefault="007676BE">
            <w:pPr>
              <w:pStyle w:val="TableRow"/>
            </w:pPr>
            <w:r>
              <w:t>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47C815F" w:rsidR="00E66558" w:rsidRDefault="007676BE">
            <w:pPr>
              <w:pStyle w:val="TableRow"/>
            </w:pPr>
            <w:r>
              <w:t>Charlie Plumb</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E02D8" w:rsidRDefault="009D71E8">
            <w:pPr>
              <w:pStyle w:val="TableRow"/>
            </w:pPr>
            <w:r w:rsidRPr="00EE02D8">
              <w:t xml:space="preserve">Governor </w:t>
            </w:r>
            <w:r w:rsidRPr="00EE02D8">
              <w:rPr>
                <w:szCs w:val="22"/>
              </w:rPr>
              <w:t xml:space="preserve">/ Trustee </w:t>
            </w:r>
            <w:r w:rsidRPr="00EE02D8">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B1D10E7" w:rsidR="00E66558" w:rsidRDefault="00EE02D8">
            <w:pPr>
              <w:pStyle w:val="TableRow"/>
            </w:pPr>
            <w:r>
              <w:t>Sarah White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851E9F0" w:rsidR="00E66558" w:rsidRDefault="009D71E8">
            <w:pPr>
              <w:pStyle w:val="TableRow"/>
            </w:pPr>
            <w:r>
              <w:t>£</w:t>
            </w:r>
            <w:r w:rsidR="00536F8B">
              <w:t>49,325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A71BDF5" w:rsidR="00E66558" w:rsidRDefault="009D71E8" w:rsidP="00EE02D8">
            <w:pPr>
              <w:pStyle w:val="TableRow"/>
            </w:pPr>
            <w:r>
              <w:t>£</w:t>
            </w:r>
            <w:r w:rsidR="00EE02D8">
              <w:t>24,322</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B464172" w:rsidR="00E66558" w:rsidRDefault="009D71E8">
            <w:pPr>
              <w:pStyle w:val="TableRow"/>
            </w:pPr>
            <w:r>
              <w:t>£</w:t>
            </w:r>
            <w:r w:rsidR="006E4324">
              <w:t>16,000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24056" w14:textId="513151EF" w:rsidR="00E66558" w:rsidRDefault="009D71E8">
            <w:pPr>
              <w:pStyle w:val="TableRow"/>
            </w:pPr>
            <w:r>
              <w:t>£</w:t>
            </w:r>
            <w:r w:rsidR="00CB41C1">
              <w:t>89,647</w:t>
            </w:r>
          </w:p>
          <w:p w14:paraId="2A7D54E2" w14:textId="7E843E80" w:rsidR="00EF5724" w:rsidRDefault="00EF5724">
            <w:pPr>
              <w:pStyle w:val="TableRow"/>
            </w:pPr>
            <w:r>
              <w:t xml:space="preserve"> (plus covid catch up)</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751EE1"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6E0E3" w14:textId="4F953340" w:rsidR="00E66558" w:rsidRDefault="00791941" w:rsidP="00791941">
            <w:pPr>
              <w:rPr>
                <w:i/>
                <w:iCs/>
              </w:rPr>
            </w:pPr>
            <w:r>
              <w:rPr>
                <w:i/>
                <w:iCs/>
              </w:rPr>
              <w:t xml:space="preserve">Pencalenick School utilises pupil premium </w:t>
            </w:r>
            <w:r w:rsidR="00FE5B41">
              <w:rPr>
                <w:i/>
                <w:iCs/>
              </w:rPr>
              <w:t>funding to help us ensure that all pupils – including disadvantaged pupils</w:t>
            </w:r>
            <w:r w:rsidR="00705E5E">
              <w:rPr>
                <w:i/>
                <w:iCs/>
              </w:rPr>
              <w:t xml:space="preserve"> achieve and sustain positive outcomes.  All pupils at Pencalenick School have and Education Health and Care Plan </w:t>
            </w:r>
            <w:r w:rsidR="00B25294">
              <w:rPr>
                <w:i/>
                <w:iCs/>
              </w:rPr>
              <w:t xml:space="preserve">outlining their individual needs – </w:t>
            </w:r>
            <w:r w:rsidR="0029526D">
              <w:rPr>
                <w:i/>
                <w:iCs/>
              </w:rPr>
              <w:t>our school offer is designed to meet these individual needs</w:t>
            </w:r>
            <w:r w:rsidR="00F17A9A">
              <w:rPr>
                <w:i/>
                <w:iCs/>
              </w:rPr>
              <w:t xml:space="preserve">.  We also recognise the additional barriers and </w:t>
            </w:r>
            <w:r w:rsidR="00CB4557">
              <w:rPr>
                <w:i/>
                <w:iCs/>
              </w:rPr>
              <w:t>support required for disadvantaged pupils who need specific interventions</w:t>
            </w:r>
            <w:r w:rsidR="00484E03">
              <w:rPr>
                <w:i/>
                <w:iCs/>
              </w:rPr>
              <w:t xml:space="preserve"> – and the particular significance of this during the COVID pandemic</w:t>
            </w:r>
            <w:r w:rsidR="002A432A">
              <w:rPr>
                <w:i/>
                <w:iCs/>
              </w:rPr>
              <w:t xml:space="preserve"> </w:t>
            </w:r>
            <w:r w:rsidR="006A499E">
              <w:rPr>
                <w:i/>
                <w:iCs/>
              </w:rPr>
              <w:t xml:space="preserve">Summer term 21 data </w:t>
            </w:r>
            <w:r w:rsidR="00682AB3">
              <w:rPr>
                <w:i/>
                <w:iCs/>
              </w:rPr>
              <w:t>suggested a widening of the gap between pupil premium and non</w:t>
            </w:r>
            <w:r w:rsidR="00000104">
              <w:rPr>
                <w:i/>
                <w:iCs/>
              </w:rPr>
              <w:t>-</w:t>
            </w:r>
            <w:r w:rsidR="00682AB3">
              <w:rPr>
                <w:i/>
                <w:iCs/>
              </w:rPr>
              <w:t>pupil premium pupils at Pencalenick School</w:t>
            </w:r>
            <w:r w:rsidR="00CE0965">
              <w:rPr>
                <w:i/>
                <w:iCs/>
              </w:rPr>
              <w:t xml:space="preserve">.  </w:t>
            </w:r>
          </w:p>
          <w:p w14:paraId="6707CFC6" w14:textId="77777777" w:rsidR="00C732A8" w:rsidRDefault="00484E03" w:rsidP="00791941">
            <w:pPr>
              <w:rPr>
                <w:i/>
                <w:iCs/>
              </w:rPr>
            </w:pPr>
            <w:r>
              <w:rPr>
                <w:i/>
                <w:iCs/>
              </w:rPr>
              <w:t xml:space="preserve">This plan outlines the way that Pencalenick School uses </w:t>
            </w:r>
            <w:r w:rsidR="003B06CB">
              <w:rPr>
                <w:i/>
                <w:iCs/>
              </w:rPr>
              <w:t>the funding to;</w:t>
            </w:r>
          </w:p>
          <w:p w14:paraId="135DE411" w14:textId="76A340E0" w:rsidR="003B06CB" w:rsidRPr="00F64278" w:rsidRDefault="00E20FA8" w:rsidP="00067AA5">
            <w:pPr>
              <w:pStyle w:val="ListParagraph"/>
              <w:numPr>
                <w:ilvl w:val="0"/>
                <w:numId w:val="16"/>
              </w:numPr>
              <w:rPr>
                <w:i/>
                <w:iCs/>
              </w:rPr>
            </w:pPr>
            <w:r w:rsidRPr="00F64278">
              <w:rPr>
                <w:i/>
                <w:iCs/>
              </w:rPr>
              <w:t>Develop</w:t>
            </w:r>
            <w:r w:rsidR="0096274C" w:rsidRPr="00F64278">
              <w:rPr>
                <w:i/>
                <w:iCs/>
              </w:rPr>
              <w:t xml:space="preserve"> curriculum enrichment opportunities and community </w:t>
            </w:r>
            <w:r w:rsidR="00DB2373" w:rsidRPr="00F64278">
              <w:rPr>
                <w:i/>
                <w:iCs/>
              </w:rPr>
              <w:t xml:space="preserve">links </w:t>
            </w:r>
            <w:r w:rsidR="0051665C" w:rsidRPr="00F64278">
              <w:rPr>
                <w:i/>
                <w:iCs/>
              </w:rPr>
              <w:t>to support young people</w:t>
            </w:r>
            <w:r w:rsidRPr="00F64278">
              <w:rPr>
                <w:i/>
                <w:iCs/>
              </w:rPr>
              <w:t xml:space="preserve"> – particularly in the context of </w:t>
            </w:r>
            <w:r w:rsidR="00975C23" w:rsidRPr="00F64278">
              <w:rPr>
                <w:i/>
                <w:iCs/>
              </w:rPr>
              <w:t xml:space="preserve">these opportunities being more limited during COVID. </w:t>
            </w:r>
          </w:p>
          <w:p w14:paraId="578329C9" w14:textId="77777777" w:rsidR="006A499E" w:rsidRDefault="00231883" w:rsidP="006A499E">
            <w:pPr>
              <w:pStyle w:val="ListParagraph"/>
              <w:numPr>
                <w:ilvl w:val="0"/>
                <w:numId w:val="16"/>
              </w:numPr>
              <w:rPr>
                <w:i/>
                <w:iCs/>
              </w:rPr>
            </w:pPr>
            <w:r w:rsidRPr="00F64278">
              <w:rPr>
                <w:i/>
                <w:iCs/>
              </w:rPr>
              <w:t xml:space="preserve">Identify and implement specific </w:t>
            </w:r>
            <w:r w:rsidR="005A1D6A" w:rsidRPr="00F64278">
              <w:rPr>
                <w:i/>
                <w:iCs/>
              </w:rPr>
              <w:t xml:space="preserve">opportunities and </w:t>
            </w:r>
            <w:r w:rsidR="00D86F38" w:rsidRPr="00F64278">
              <w:rPr>
                <w:i/>
                <w:iCs/>
              </w:rPr>
              <w:t>interventions</w:t>
            </w:r>
            <w:r w:rsidR="005A1D6A" w:rsidRPr="00F64278">
              <w:rPr>
                <w:i/>
                <w:iCs/>
              </w:rPr>
              <w:t xml:space="preserve"> for pupils to ensure</w:t>
            </w:r>
            <w:r w:rsidR="00D86F38" w:rsidRPr="00F64278">
              <w:rPr>
                <w:i/>
                <w:iCs/>
              </w:rPr>
              <w:t xml:space="preserve"> readiness for learning, engagement in learning and preparation for adulthood.  These interventions need to be highly pupil lead and incl</w:t>
            </w:r>
            <w:r w:rsidR="007359AA" w:rsidRPr="00F64278">
              <w:rPr>
                <w:i/>
                <w:iCs/>
              </w:rPr>
              <w:t xml:space="preserve">ude support for emotional development, behaviour, sensory needs as well as </w:t>
            </w:r>
            <w:r w:rsidR="00BC0B05" w:rsidRPr="00F64278">
              <w:rPr>
                <w:i/>
                <w:iCs/>
              </w:rPr>
              <w:t>academic progress</w:t>
            </w:r>
          </w:p>
          <w:p w14:paraId="2A7D54E9" w14:textId="2E5D9753" w:rsidR="00414F49" w:rsidRPr="00F64278" w:rsidRDefault="00414F49" w:rsidP="006A499E">
            <w:pPr>
              <w:pStyle w:val="ListParagraph"/>
              <w:numPr>
                <w:ilvl w:val="0"/>
                <w:numId w:val="16"/>
              </w:numPr>
              <w:rPr>
                <w:i/>
                <w:iCs/>
              </w:rPr>
            </w:pPr>
            <w:r w:rsidRPr="00F64278">
              <w:rPr>
                <w:i/>
                <w:iCs/>
              </w:rPr>
              <w:t xml:space="preserve">Develop </w:t>
            </w:r>
            <w:r w:rsidR="00737F27" w:rsidRPr="00F64278">
              <w:rPr>
                <w:i/>
                <w:iCs/>
              </w:rPr>
              <w:t xml:space="preserve">specialist resources and specialist staff knowledge to support </w:t>
            </w:r>
            <w:r w:rsidR="00B9127C" w:rsidRPr="00F64278">
              <w:rPr>
                <w:i/>
                <w:iCs/>
              </w:rPr>
              <w:t>pupils who have special educational needs in all aspects of their development.</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3B0052" w:rsidR="00E66558" w:rsidRDefault="00672E62" w:rsidP="00672E62">
            <w:pPr>
              <w:pStyle w:val="TableRowCentered"/>
              <w:ind w:left="0"/>
              <w:jc w:val="left"/>
            </w:pPr>
            <w:r>
              <w:t>Ensuring that all pupils ac</w:t>
            </w:r>
            <w:r w:rsidR="009A67CA">
              <w:t xml:space="preserve">cess an enriched curriculum -including a range of opportunities linking </w:t>
            </w:r>
            <w:r w:rsidR="00B10F97">
              <w:t xml:space="preserve">to </w:t>
            </w:r>
            <w:r w:rsidR="00071DD7">
              <w:t>development of their independence skills , preparation for adulthood and their place in community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3C168B6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8C11F13" w:rsidR="00E66558" w:rsidRDefault="00F91444">
            <w:pPr>
              <w:pStyle w:val="TableRowCentered"/>
              <w:jc w:val="left"/>
              <w:rPr>
                <w:sz w:val="22"/>
                <w:szCs w:val="22"/>
              </w:rPr>
            </w:pPr>
            <w:r>
              <w:rPr>
                <w:sz w:val="22"/>
                <w:szCs w:val="22"/>
              </w:rPr>
              <w:t xml:space="preserve">Effective use of data to </w:t>
            </w:r>
            <w:r w:rsidR="00736AA2">
              <w:rPr>
                <w:sz w:val="22"/>
                <w:szCs w:val="22"/>
              </w:rPr>
              <w:t xml:space="preserve">inform </w:t>
            </w:r>
            <w:r w:rsidR="00D90BD7">
              <w:rPr>
                <w:sz w:val="22"/>
                <w:szCs w:val="22"/>
              </w:rPr>
              <w:t>Implementation of targeted interventions</w:t>
            </w:r>
            <w:r w:rsidR="00D51AD6">
              <w:rPr>
                <w:sz w:val="22"/>
                <w:szCs w:val="22"/>
              </w:rPr>
              <w:t xml:space="preserve"> to support progress across all </w:t>
            </w:r>
            <w:r w:rsidR="00067AA5">
              <w:rPr>
                <w:sz w:val="22"/>
                <w:szCs w:val="22"/>
              </w:rPr>
              <w:t>areas</w:t>
            </w:r>
            <w:r w:rsidR="00D51AD6">
              <w:rPr>
                <w:sz w:val="22"/>
                <w:szCs w:val="22"/>
              </w:rPr>
              <w:t xml:space="preserve"> of pupils</w:t>
            </w:r>
            <w:r w:rsidR="002A432A">
              <w:rPr>
                <w:sz w:val="22"/>
                <w:szCs w:val="22"/>
              </w:rPr>
              <w:t>’</w:t>
            </w:r>
            <w:r w:rsidR="00D51AD6">
              <w:rPr>
                <w:sz w:val="22"/>
                <w:szCs w:val="22"/>
              </w:rPr>
              <w:t xml:space="preserve"> development.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10C4C213" w:rsidR="00E66558" w:rsidRDefault="00F730AA">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6FBD240" w:rsidR="00E66558" w:rsidRDefault="00000104">
            <w:pPr>
              <w:pStyle w:val="TableRowCentered"/>
              <w:jc w:val="left"/>
              <w:rPr>
                <w:sz w:val="22"/>
                <w:szCs w:val="22"/>
              </w:rPr>
            </w:pPr>
            <w:r>
              <w:rPr>
                <w:sz w:val="22"/>
                <w:szCs w:val="22"/>
              </w:rPr>
              <w:t>To increase pupil’s reading ages by at least 3 months in one year.</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0F033D7" w:rsidR="00E66558" w:rsidRDefault="00104FD6">
            <w:pPr>
              <w:pStyle w:val="TableRowCentered"/>
              <w:jc w:val="left"/>
              <w:rPr>
                <w:iCs/>
                <w:sz w:val="22"/>
              </w:rPr>
            </w:pPr>
            <w:r>
              <w:rPr>
                <w:iCs/>
                <w:sz w:val="22"/>
              </w:rPr>
              <w:t>To implement training</w:t>
            </w:r>
            <w:r w:rsidR="003D3972">
              <w:rPr>
                <w:iCs/>
                <w:sz w:val="22"/>
              </w:rPr>
              <w:t xml:space="preserve"> t</w:t>
            </w:r>
            <w:r w:rsidR="002A432A">
              <w:rPr>
                <w:iCs/>
                <w:sz w:val="22"/>
              </w:rPr>
              <w:t>o support specialist staff team</w:t>
            </w:r>
            <w:r>
              <w:rPr>
                <w:iCs/>
                <w:sz w:val="22"/>
              </w:rPr>
              <w:t xml:space="preserve"> and effectively deploy</w:t>
            </w:r>
            <w:r w:rsidR="003D3972">
              <w:rPr>
                <w:iCs/>
                <w:sz w:val="22"/>
              </w:rPr>
              <w:t xml:space="preserve"> staff to </w:t>
            </w:r>
            <w:r w:rsidR="0017083A">
              <w:rPr>
                <w:iCs/>
                <w:sz w:val="22"/>
              </w:rPr>
              <w:t>work skilfully with individuals and small groups</w:t>
            </w:r>
            <w:r w:rsidR="00BC0A84">
              <w:rPr>
                <w:iCs/>
                <w:sz w:val="22"/>
              </w:rPr>
              <w:t xml:space="preserve"> and parents</w:t>
            </w:r>
            <w:r w:rsidR="0017083A">
              <w:rPr>
                <w:iCs/>
                <w:sz w:val="22"/>
              </w:rPr>
              <w:t xml:space="preserve"> to support learning</w:t>
            </w:r>
            <w:r w:rsidR="00000104">
              <w:rPr>
                <w:iCs/>
                <w:sz w:val="22"/>
              </w:rPr>
              <w:t xml:space="preserve"> and wellbeing.</w:t>
            </w:r>
            <w:r w:rsidR="00BC0A84">
              <w:rPr>
                <w:iCs/>
                <w:sz w:val="22"/>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586B690" w:rsidR="00E66558" w:rsidRDefault="00F730AA">
            <w:pPr>
              <w:pStyle w:val="TableRowCentered"/>
              <w:jc w:val="left"/>
              <w:rPr>
                <w:iCs/>
                <w:sz w:val="22"/>
              </w:rPr>
            </w:pPr>
            <w:r>
              <w:rPr>
                <w:iCs/>
                <w:sz w:val="22"/>
              </w:rPr>
              <w:t xml:space="preserve">To continue to develop school and parent partnership – ensuring staff have a good understanding of Pupil Premium plan – and are working with parents to support aspiration and progress.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4E71FCB0" w:rsidR="00E66558" w:rsidRDefault="00F730AA">
            <w:pPr>
              <w:pStyle w:val="TableRow"/>
            </w:pPr>
            <w:r>
              <w:t xml:space="preserve">To </w:t>
            </w:r>
            <w:r w:rsidR="009202C8">
              <w:t xml:space="preserve">deliver a wide range of opportunities for pupils to engage in enrichment activities on and off the school </w:t>
            </w:r>
            <w:r w:rsidR="009202C8">
              <w:lastRenderedPageBreak/>
              <w:t>site</w:t>
            </w:r>
            <w:r w:rsidR="00F666F3">
              <w:t xml:space="preserve"> </w:t>
            </w:r>
            <w:r w:rsidR="0043708D">
              <w:t>–</w:t>
            </w:r>
            <w:r w:rsidR="00F666F3">
              <w:t xml:space="preserve"> </w:t>
            </w:r>
            <w:r w:rsidR="0043708D">
              <w:t>promoting pupils knowledge and interest in the community we live in.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B77FE" w14:textId="77777777" w:rsidR="00E66558" w:rsidRDefault="00BD7417">
            <w:pPr>
              <w:pStyle w:val="TableRowCentered"/>
              <w:jc w:val="left"/>
              <w:rPr>
                <w:sz w:val="22"/>
                <w:szCs w:val="22"/>
              </w:rPr>
            </w:pPr>
            <w:r>
              <w:rPr>
                <w:sz w:val="22"/>
                <w:szCs w:val="22"/>
              </w:rPr>
              <w:lastRenderedPageBreak/>
              <w:t>Clear provision map of enrichment opportunities in place.</w:t>
            </w:r>
          </w:p>
          <w:p w14:paraId="2A7D5505" w14:textId="09ADD8B8" w:rsidR="00BD7417" w:rsidRDefault="00BD7417">
            <w:pPr>
              <w:pStyle w:val="TableRowCentered"/>
              <w:jc w:val="left"/>
              <w:rPr>
                <w:sz w:val="22"/>
                <w:szCs w:val="22"/>
              </w:rPr>
            </w:pPr>
            <w:r>
              <w:rPr>
                <w:sz w:val="22"/>
                <w:szCs w:val="22"/>
              </w:rPr>
              <w:lastRenderedPageBreak/>
              <w:t>EFL effectively used to demonstrate the impact of these opportu</w:t>
            </w:r>
            <w:r w:rsidR="000E242F">
              <w:rPr>
                <w:sz w:val="22"/>
                <w:szCs w:val="22"/>
              </w:rPr>
              <w:t>nities</w:t>
            </w:r>
            <w:r>
              <w:rPr>
                <w:sz w:val="22"/>
                <w:szCs w:val="22"/>
              </w:rPr>
              <w:t xml:space="preserve"> </w:t>
            </w:r>
            <w:r w:rsidR="000E242F">
              <w:rPr>
                <w:sz w:val="22"/>
                <w:szCs w:val="22"/>
              </w:rPr>
              <w:t>linked to EHCP outcomes.</w:t>
            </w:r>
          </w:p>
        </w:tc>
      </w:tr>
      <w:tr w:rsidR="00E66558" w:rsidRPr="00041DB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D54E5BE" w:rsidR="00E66558" w:rsidRDefault="0035196A" w:rsidP="00CB41C1">
            <w:pPr>
              <w:pStyle w:val="TableRow"/>
              <w:rPr>
                <w:sz w:val="22"/>
                <w:szCs w:val="22"/>
              </w:rPr>
            </w:pPr>
            <w:r>
              <w:rPr>
                <w:sz w:val="22"/>
                <w:szCs w:val="22"/>
              </w:rPr>
              <w:lastRenderedPageBreak/>
              <w:t>Data is effectively used to identify and deploy specialist resources across the school to ensure disadvantaged pupils are effectively supporte</w:t>
            </w:r>
            <w:r w:rsidR="007268AD">
              <w:rPr>
                <w:sz w:val="22"/>
                <w:szCs w:val="22"/>
              </w:rPr>
              <w:t xml:space="preserve">d to make expected or exceeding progress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A6B71" w14:textId="77777777" w:rsidR="00E66558" w:rsidRDefault="00DF01F1">
            <w:pPr>
              <w:pStyle w:val="TableRowCentered"/>
              <w:jc w:val="left"/>
              <w:rPr>
                <w:sz w:val="22"/>
                <w:szCs w:val="22"/>
              </w:rPr>
            </w:pPr>
            <w:r>
              <w:rPr>
                <w:sz w:val="22"/>
                <w:szCs w:val="22"/>
              </w:rPr>
              <w:t xml:space="preserve">Progress reviews specifically refer to Pupil Premium pupils and there is clear evidence of impact of interventions (EFL/B squared) </w:t>
            </w:r>
          </w:p>
          <w:p w14:paraId="501E7F26" w14:textId="77777777" w:rsidR="00041DB8" w:rsidRDefault="00041DB8">
            <w:pPr>
              <w:pStyle w:val="TableRowCentered"/>
              <w:jc w:val="left"/>
              <w:rPr>
                <w:sz w:val="22"/>
                <w:szCs w:val="22"/>
              </w:rPr>
            </w:pPr>
          </w:p>
          <w:p w14:paraId="2A7D5508" w14:textId="054C673E" w:rsidR="00041DB8" w:rsidRPr="00041DB8" w:rsidRDefault="00041DB8" w:rsidP="00CB41C1">
            <w:pPr>
              <w:pStyle w:val="TableRowCentered"/>
              <w:ind w:left="0"/>
              <w:jc w:val="left"/>
              <w:rPr>
                <w:sz w:val="22"/>
                <w:szCs w:val="22"/>
              </w:rPr>
            </w:pPr>
            <w:r w:rsidRPr="00041DB8">
              <w:rPr>
                <w:sz w:val="22"/>
                <w:szCs w:val="22"/>
              </w:rPr>
              <w:t xml:space="preserve">Pupil Premium pupils demonstrate progress </w:t>
            </w:r>
            <w:r>
              <w:rPr>
                <w:sz w:val="22"/>
                <w:szCs w:val="22"/>
              </w:rPr>
              <w:t xml:space="preserve">in line with all </w:t>
            </w:r>
            <w:r w:rsidR="00CB41C1">
              <w:rPr>
                <w:sz w:val="22"/>
                <w:szCs w:val="22"/>
              </w:rPr>
              <w:t>pupils.</w:t>
            </w:r>
          </w:p>
        </w:tc>
      </w:tr>
      <w:tr w:rsidR="00E66558" w:rsidRPr="00041DB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DD1B" w14:textId="0656F373" w:rsidR="00000104" w:rsidRPr="00000104" w:rsidRDefault="00000104">
            <w:pPr>
              <w:pStyle w:val="TableRow"/>
              <w:rPr>
                <w:sz w:val="22"/>
                <w:szCs w:val="22"/>
              </w:rPr>
            </w:pPr>
            <w:r w:rsidRPr="00000104">
              <w:rPr>
                <w:sz w:val="22"/>
                <w:szCs w:val="22"/>
              </w:rPr>
              <w:t>Pupils will have access to reading interventions throughout the year on a regular basis, as well as the standard literacy offer within class.</w:t>
            </w:r>
          </w:p>
          <w:p w14:paraId="404EFAFF" w14:textId="77777777" w:rsidR="00000104" w:rsidRPr="00000104" w:rsidRDefault="00000104">
            <w:pPr>
              <w:pStyle w:val="TableRow"/>
              <w:rPr>
                <w:sz w:val="22"/>
                <w:szCs w:val="22"/>
              </w:rPr>
            </w:pPr>
          </w:p>
          <w:p w14:paraId="2A7D550A" w14:textId="325F4460" w:rsidR="00E66558" w:rsidRPr="00041DB8" w:rsidRDefault="00E6655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73770B" w:rsidR="00E66558" w:rsidRPr="00041DB8" w:rsidRDefault="00000104">
            <w:pPr>
              <w:pStyle w:val="TableRowCentered"/>
              <w:jc w:val="left"/>
              <w:rPr>
                <w:sz w:val="22"/>
                <w:szCs w:val="22"/>
              </w:rPr>
            </w:pPr>
            <w:r>
              <w:rPr>
                <w:sz w:val="22"/>
                <w:szCs w:val="22"/>
              </w:rPr>
              <w:t>At 75% of pupils will have increased their reading age by 3 months or more by the end of the year.</w:t>
            </w:r>
          </w:p>
        </w:tc>
      </w:tr>
      <w:tr w:rsidR="00E66558" w:rsidRPr="006F7A8A" w14:paraId="2A7D550F" w14:textId="77777777" w:rsidTr="00EB547E">
        <w:trPr>
          <w:trHeight w:val="5025"/>
        </w:trPr>
        <w:tc>
          <w:tcPr>
            <w:tcW w:w="481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0D" w14:textId="556075EF" w:rsidR="00E66558" w:rsidRPr="00041DB8" w:rsidRDefault="00E765D8">
            <w:pPr>
              <w:pStyle w:val="TableRow"/>
              <w:rPr>
                <w:sz w:val="22"/>
                <w:szCs w:val="22"/>
              </w:rPr>
            </w:pPr>
            <w:r>
              <w:rPr>
                <w:sz w:val="22"/>
                <w:szCs w:val="22"/>
              </w:rPr>
              <w:t>A skilled staff team can deliver interventions t</w:t>
            </w:r>
            <w:r w:rsidR="00CB41C1">
              <w:rPr>
                <w:sz w:val="22"/>
                <w:szCs w:val="22"/>
              </w:rPr>
              <w:t>o pupils to meet a wide range of</w:t>
            </w:r>
            <w:r>
              <w:rPr>
                <w:sz w:val="22"/>
                <w:szCs w:val="22"/>
              </w:rPr>
              <w:t xml:space="preserve"> specific needs.</w:t>
            </w:r>
            <w:r w:rsidR="004363B8">
              <w:rPr>
                <w:sz w:val="22"/>
                <w:szCs w:val="22"/>
              </w:rPr>
              <w:t xml:space="preserve">  </w:t>
            </w:r>
          </w:p>
        </w:tc>
        <w:tc>
          <w:tcPr>
            <w:tcW w:w="46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A5D7E5" w14:textId="77777777" w:rsidR="00E66558" w:rsidRPr="00CB41C1" w:rsidRDefault="004363B8">
            <w:pPr>
              <w:pStyle w:val="TableRowCentered"/>
              <w:jc w:val="left"/>
              <w:rPr>
                <w:sz w:val="22"/>
                <w:szCs w:val="22"/>
              </w:rPr>
            </w:pPr>
            <w:r w:rsidRPr="00CB41C1">
              <w:rPr>
                <w:sz w:val="22"/>
                <w:szCs w:val="22"/>
              </w:rPr>
              <w:t>The school can provide specialist staff for ;</w:t>
            </w:r>
          </w:p>
          <w:p w14:paraId="718E6F70" w14:textId="77777777" w:rsidR="004363B8" w:rsidRPr="00CB41C1" w:rsidRDefault="004363B8" w:rsidP="004363B8">
            <w:pPr>
              <w:pStyle w:val="TableRowCentered"/>
              <w:numPr>
                <w:ilvl w:val="0"/>
                <w:numId w:val="17"/>
              </w:numPr>
              <w:jc w:val="left"/>
              <w:rPr>
                <w:sz w:val="22"/>
                <w:szCs w:val="22"/>
              </w:rPr>
            </w:pPr>
            <w:r w:rsidRPr="00CB41C1">
              <w:rPr>
                <w:sz w:val="22"/>
                <w:szCs w:val="22"/>
              </w:rPr>
              <w:t>Rebound</w:t>
            </w:r>
          </w:p>
          <w:p w14:paraId="6F408E56" w14:textId="77777777" w:rsidR="004363B8" w:rsidRPr="00CB41C1" w:rsidRDefault="004363B8" w:rsidP="004363B8">
            <w:pPr>
              <w:pStyle w:val="TableRowCentered"/>
              <w:numPr>
                <w:ilvl w:val="0"/>
                <w:numId w:val="17"/>
              </w:numPr>
              <w:jc w:val="left"/>
              <w:rPr>
                <w:sz w:val="22"/>
                <w:szCs w:val="22"/>
              </w:rPr>
            </w:pPr>
            <w:r w:rsidRPr="00CB41C1">
              <w:rPr>
                <w:sz w:val="22"/>
                <w:szCs w:val="22"/>
              </w:rPr>
              <w:t>T</w:t>
            </w:r>
            <w:r w:rsidR="00155CC0" w:rsidRPr="00CB41C1">
              <w:rPr>
                <w:sz w:val="22"/>
                <w:szCs w:val="22"/>
              </w:rPr>
              <w:t xml:space="preserve">rauma Informed School Interventions( Motional) </w:t>
            </w:r>
          </w:p>
          <w:p w14:paraId="49D37060" w14:textId="1DD657F3" w:rsidR="006F7A8A" w:rsidRPr="00CB41C1" w:rsidRDefault="006F7A8A" w:rsidP="004363B8">
            <w:pPr>
              <w:pStyle w:val="TableRowCentered"/>
              <w:numPr>
                <w:ilvl w:val="0"/>
                <w:numId w:val="17"/>
              </w:numPr>
              <w:jc w:val="left"/>
              <w:rPr>
                <w:sz w:val="22"/>
                <w:szCs w:val="22"/>
              </w:rPr>
            </w:pPr>
            <w:r w:rsidRPr="00CB41C1">
              <w:rPr>
                <w:sz w:val="22"/>
                <w:szCs w:val="22"/>
              </w:rPr>
              <w:t>Occupational Therapist support</w:t>
            </w:r>
          </w:p>
          <w:p w14:paraId="25A12BC6" w14:textId="77777777" w:rsidR="006F7A8A" w:rsidRPr="00CB41C1" w:rsidRDefault="006F7A8A" w:rsidP="004363B8">
            <w:pPr>
              <w:pStyle w:val="TableRowCentered"/>
              <w:numPr>
                <w:ilvl w:val="0"/>
                <w:numId w:val="17"/>
              </w:numPr>
              <w:jc w:val="left"/>
              <w:rPr>
                <w:sz w:val="22"/>
                <w:szCs w:val="22"/>
              </w:rPr>
            </w:pPr>
            <w:r w:rsidRPr="00CB41C1">
              <w:rPr>
                <w:sz w:val="22"/>
                <w:szCs w:val="22"/>
              </w:rPr>
              <w:t>Music Mentoring</w:t>
            </w:r>
          </w:p>
          <w:p w14:paraId="495D54B1" w14:textId="77777777" w:rsidR="00CB41C1" w:rsidRPr="00CB41C1" w:rsidRDefault="006F7A8A" w:rsidP="00D35DA2">
            <w:pPr>
              <w:pStyle w:val="TableRowCentered"/>
              <w:numPr>
                <w:ilvl w:val="0"/>
                <w:numId w:val="17"/>
              </w:numPr>
              <w:jc w:val="left"/>
              <w:rPr>
                <w:sz w:val="22"/>
                <w:szCs w:val="22"/>
              </w:rPr>
            </w:pPr>
            <w:r w:rsidRPr="00CB41C1">
              <w:rPr>
                <w:sz w:val="22"/>
                <w:szCs w:val="22"/>
              </w:rPr>
              <w:t>School Lead tutoring</w:t>
            </w:r>
          </w:p>
          <w:p w14:paraId="4DB6A792" w14:textId="5B46E21D" w:rsidR="006F7A8A" w:rsidRPr="00CB41C1" w:rsidRDefault="006F7A8A" w:rsidP="00D35DA2">
            <w:pPr>
              <w:pStyle w:val="TableRowCentered"/>
              <w:numPr>
                <w:ilvl w:val="0"/>
                <w:numId w:val="17"/>
              </w:numPr>
              <w:jc w:val="left"/>
              <w:rPr>
                <w:sz w:val="22"/>
                <w:szCs w:val="22"/>
              </w:rPr>
            </w:pPr>
            <w:r w:rsidRPr="00CB41C1">
              <w:rPr>
                <w:sz w:val="22"/>
                <w:szCs w:val="22"/>
              </w:rPr>
              <w:t>Counselling</w:t>
            </w:r>
            <w:r w:rsidR="00BB2274" w:rsidRPr="00CB41C1">
              <w:rPr>
                <w:sz w:val="22"/>
                <w:szCs w:val="22"/>
              </w:rPr>
              <w:t xml:space="preserve"> </w:t>
            </w:r>
          </w:p>
          <w:p w14:paraId="37F36309" w14:textId="64B533CA" w:rsidR="00BB2274" w:rsidRPr="00CB41C1" w:rsidRDefault="00BB2274" w:rsidP="004363B8">
            <w:pPr>
              <w:pStyle w:val="TableRowCentered"/>
              <w:numPr>
                <w:ilvl w:val="0"/>
                <w:numId w:val="17"/>
              </w:numPr>
              <w:jc w:val="left"/>
              <w:rPr>
                <w:sz w:val="22"/>
                <w:szCs w:val="22"/>
              </w:rPr>
            </w:pPr>
            <w:r w:rsidRPr="00CB41C1">
              <w:rPr>
                <w:sz w:val="22"/>
                <w:szCs w:val="22"/>
              </w:rPr>
              <w:t>Forest school</w:t>
            </w:r>
          </w:p>
          <w:p w14:paraId="2F0D3477" w14:textId="09731580" w:rsidR="006F7A8A" w:rsidRPr="00CB41C1" w:rsidRDefault="00847AE7" w:rsidP="004363B8">
            <w:pPr>
              <w:pStyle w:val="TableRowCentered"/>
              <w:numPr>
                <w:ilvl w:val="0"/>
                <w:numId w:val="17"/>
              </w:numPr>
              <w:jc w:val="left"/>
              <w:rPr>
                <w:sz w:val="22"/>
                <w:szCs w:val="22"/>
              </w:rPr>
            </w:pPr>
            <w:r w:rsidRPr="00CB41C1">
              <w:rPr>
                <w:sz w:val="22"/>
                <w:szCs w:val="22"/>
              </w:rPr>
              <w:t xml:space="preserve">Specific focus on reading development – including purchase of resources and targeted </w:t>
            </w:r>
          </w:p>
          <w:p w14:paraId="050A5BE3" w14:textId="684CDF6F" w:rsidR="00EB547E" w:rsidRPr="00CB41C1" w:rsidRDefault="00F61355" w:rsidP="004363B8">
            <w:pPr>
              <w:pStyle w:val="TableRowCentered"/>
              <w:numPr>
                <w:ilvl w:val="0"/>
                <w:numId w:val="17"/>
              </w:numPr>
              <w:jc w:val="left"/>
              <w:rPr>
                <w:sz w:val="22"/>
                <w:szCs w:val="22"/>
              </w:rPr>
            </w:pPr>
            <w:r w:rsidRPr="00CB41C1">
              <w:rPr>
                <w:sz w:val="22"/>
                <w:szCs w:val="22"/>
              </w:rPr>
              <w:t xml:space="preserve">Yoga </w:t>
            </w:r>
          </w:p>
          <w:p w14:paraId="6824945E" w14:textId="40BCC415" w:rsidR="00F61355" w:rsidRPr="00CB41C1" w:rsidRDefault="00F61355" w:rsidP="004363B8">
            <w:pPr>
              <w:pStyle w:val="TableRowCentered"/>
              <w:numPr>
                <w:ilvl w:val="0"/>
                <w:numId w:val="17"/>
              </w:numPr>
              <w:jc w:val="left"/>
              <w:rPr>
                <w:sz w:val="22"/>
                <w:szCs w:val="22"/>
              </w:rPr>
            </w:pPr>
            <w:r w:rsidRPr="00CB41C1">
              <w:rPr>
                <w:sz w:val="22"/>
                <w:szCs w:val="22"/>
              </w:rPr>
              <w:t>Mountain bikes</w:t>
            </w:r>
          </w:p>
          <w:p w14:paraId="24BB3EC9" w14:textId="3DF349CC" w:rsidR="00DD1FA9" w:rsidRPr="00CB41C1" w:rsidRDefault="00DD1FA9" w:rsidP="004363B8">
            <w:pPr>
              <w:pStyle w:val="TableRowCentered"/>
              <w:numPr>
                <w:ilvl w:val="0"/>
                <w:numId w:val="17"/>
              </w:numPr>
              <w:jc w:val="left"/>
              <w:rPr>
                <w:sz w:val="22"/>
                <w:szCs w:val="22"/>
              </w:rPr>
            </w:pPr>
            <w:r w:rsidRPr="00CB41C1">
              <w:rPr>
                <w:sz w:val="22"/>
                <w:szCs w:val="22"/>
              </w:rPr>
              <w:t>Pastoral support</w:t>
            </w:r>
          </w:p>
          <w:p w14:paraId="68ACA858" w14:textId="77777777" w:rsidR="00EB547E" w:rsidRDefault="00EB547E" w:rsidP="00EB547E">
            <w:pPr>
              <w:pStyle w:val="TableRowCentered"/>
              <w:jc w:val="left"/>
              <w:rPr>
                <w:sz w:val="22"/>
                <w:szCs w:val="22"/>
              </w:rPr>
            </w:pPr>
          </w:p>
          <w:p w14:paraId="2A7D550E" w14:textId="4DCEC028" w:rsidR="00EB547E" w:rsidRPr="006F7A8A" w:rsidRDefault="00EB547E" w:rsidP="00EB547E">
            <w:pPr>
              <w:pStyle w:val="TableRowCentered"/>
              <w:jc w:val="left"/>
              <w:rPr>
                <w:sz w:val="22"/>
                <w:szCs w:val="22"/>
              </w:rPr>
            </w:pPr>
          </w:p>
        </w:tc>
      </w:tr>
      <w:tr w:rsidR="00EB547E" w:rsidRPr="006F7A8A" w14:paraId="7448290A" w14:textId="77777777" w:rsidTr="00A374C9">
        <w:trPr>
          <w:trHeight w:val="1550"/>
        </w:trPr>
        <w:tc>
          <w:tcPr>
            <w:tcW w:w="48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716C4" w14:textId="58677A23" w:rsidR="00EB547E" w:rsidRDefault="00AF30C9" w:rsidP="00EB547E">
            <w:pPr>
              <w:pStyle w:val="TableRow"/>
              <w:rPr>
                <w:sz w:val="22"/>
                <w:szCs w:val="22"/>
              </w:rPr>
            </w:pPr>
            <w:r>
              <w:rPr>
                <w:sz w:val="22"/>
                <w:szCs w:val="22"/>
              </w:rPr>
              <w:t>Tutors/teachers and all staff hav</w:t>
            </w:r>
            <w:r w:rsidR="00EF6AC5">
              <w:rPr>
                <w:sz w:val="22"/>
                <w:szCs w:val="22"/>
              </w:rPr>
              <w:t>e</w:t>
            </w:r>
            <w:r>
              <w:rPr>
                <w:sz w:val="22"/>
                <w:szCs w:val="22"/>
              </w:rPr>
              <w:t xml:space="preserve"> a deep understanding of the impact</w:t>
            </w:r>
            <w:r w:rsidR="00EF6AC5">
              <w:rPr>
                <w:sz w:val="22"/>
                <w:szCs w:val="22"/>
              </w:rPr>
              <w:t xml:space="preserve"> disadvantage has on outcomes – and work proactively with parents of Pupil Premium parents in their class</w:t>
            </w:r>
            <w:r w:rsidR="00CB0D62">
              <w:rPr>
                <w:sz w:val="22"/>
                <w:szCs w:val="22"/>
              </w:rPr>
              <w:t xml:space="preserve"> to consider opportunity and aspiration</w:t>
            </w:r>
          </w:p>
        </w:tc>
        <w:tc>
          <w:tcPr>
            <w:tcW w:w="4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98178" w14:textId="4C3F34D8" w:rsidR="00EB547E" w:rsidRDefault="00442474" w:rsidP="00EB547E">
            <w:pPr>
              <w:pStyle w:val="TableRowCentered"/>
              <w:jc w:val="left"/>
              <w:rPr>
                <w:sz w:val="22"/>
                <w:szCs w:val="22"/>
              </w:rPr>
            </w:pPr>
            <w:r>
              <w:rPr>
                <w:sz w:val="22"/>
                <w:szCs w:val="22"/>
              </w:rPr>
              <w:t xml:space="preserve">Teachers can confidently demonstrate how pupil needs are identified and met in the context of any additional barriers or recognised disadvantage. </w:t>
            </w:r>
          </w:p>
          <w:p w14:paraId="75D12A14" w14:textId="63AC8E27" w:rsidR="00EB547E" w:rsidRDefault="00EB547E" w:rsidP="00A374C9">
            <w:pPr>
              <w:pStyle w:val="TableRowCentered"/>
              <w:ind w:left="0"/>
              <w:jc w:val="left"/>
              <w:rPr>
                <w:sz w:val="22"/>
                <w:szCs w:val="22"/>
              </w:rPr>
            </w:pPr>
          </w:p>
        </w:tc>
      </w:tr>
    </w:tbl>
    <w:p w14:paraId="2A7D5512" w14:textId="3A9F43BA"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12BDE65" w:rsidR="00E66558" w:rsidRDefault="009D71E8">
      <w:r>
        <w:t>Budgeted cost: £</w:t>
      </w:r>
      <w:r w:rsidR="00F92D6D">
        <w:t>8</w:t>
      </w:r>
      <w:r w:rsidR="008C1853">
        <w:t>,600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D03516" w14:paraId="2A7D551D" w14:textId="77777777" w:rsidTr="00A374C9">
        <w:trPr>
          <w:trHeight w:val="625"/>
        </w:trPr>
        <w:tc>
          <w:tcPr>
            <w:tcW w:w="9486"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C" w14:textId="3A5BD464" w:rsidR="00D03516" w:rsidRPr="00D03516" w:rsidRDefault="00D03516" w:rsidP="00A374C9">
            <w:pPr>
              <w:pStyle w:val="TableRow"/>
              <w:ind w:left="0"/>
              <w:rPr>
                <w:b/>
                <w:bCs/>
              </w:rPr>
            </w:pPr>
            <w:r w:rsidRPr="00D03516">
              <w:rPr>
                <w:b/>
                <w:bCs/>
              </w:rPr>
              <w:t xml:space="preserve">Train more class based staff to be able to deliver targeted </w:t>
            </w:r>
            <w:r w:rsidR="002514F3" w:rsidRPr="00D03516">
              <w:rPr>
                <w:b/>
                <w:bCs/>
              </w:rPr>
              <w:t>interventions</w:t>
            </w:r>
            <w:r w:rsidR="00A374C9">
              <w:rPr>
                <w:b/>
                <w:bCs/>
              </w:rPr>
              <w:t>.</w:t>
            </w:r>
          </w:p>
        </w:tc>
      </w:tr>
      <w:tr w:rsidR="001B3FC7" w14:paraId="62B605E5" w14:textId="77777777" w:rsidTr="001B3FC7">
        <w:trPr>
          <w:trHeight w:val="1080"/>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1B72D1" w14:textId="5983E3A7" w:rsidR="001B3FC7" w:rsidRDefault="001B3FC7" w:rsidP="009B2279">
            <w:pPr>
              <w:pStyle w:val="TableRow"/>
              <w:ind w:left="0"/>
              <w:rPr>
                <w:lang w:val="fr-FR"/>
              </w:rPr>
            </w:pPr>
            <w:r w:rsidRPr="00631B13">
              <w:rPr>
                <w:lang w:val="fr-FR"/>
              </w:rPr>
              <w:t>TIS p</w:t>
            </w:r>
            <w:r w:rsidR="001675AB">
              <w:rPr>
                <w:lang w:val="fr-FR"/>
              </w:rPr>
              <w:t xml:space="preserve">ractitioner </w:t>
            </w:r>
            <w:r w:rsidRPr="00631B13">
              <w:rPr>
                <w:lang w:val="fr-FR"/>
              </w:rPr>
              <w:t xml:space="preserve"> x 2  £5000 plus </w:t>
            </w:r>
            <w:r>
              <w:rPr>
                <w:lang w:val="fr-FR"/>
              </w:rPr>
              <w:t>resources £1000</w:t>
            </w:r>
          </w:p>
          <w:p w14:paraId="6F8CA7A3" w14:textId="77777777" w:rsidR="001B3FC7" w:rsidRPr="00D03516" w:rsidRDefault="001B3FC7" w:rsidP="002A6BC2">
            <w:pPr>
              <w:pStyle w:val="TableRow"/>
              <w:ind w:left="0"/>
              <w:rPr>
                <w:lang w:val="fr-FR"/>
              </w:rPr>
            </w:pP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2CDE95B" w14:textId="77777777" w:rsidR="001B3FC7" w:rsidRDefault="00F77A0C" w:rsidP="00F77A0C">
            <w:pPr>
              <w:pStyle w:val="TableRowCentered"/>
              <w:ind w:left="0"/>
              <w:jc w:val="left"/>
              <w:rPr>
                <w:rFonts w:cs="Arial"/>
                <w:sz w:val="22"/>
              </w:rPr>
            </w:pPr>
            <w:r>
              <w:rPr>
                <w:rFonts w:cs="Arial"/>
                <w:sz w:val="22"/>
              </w:rPr>
              <w:t>Social and emotional learning approaches have a positive impact, on average, of 4 months’ additional progress in academic outcomes over the course of an academic year.</w:t>
            </w:r>
          </w:p>
          <w:p w14:paraId="48799B73" w14:textId="77777777" w:rsidR="002514F3" w:rsidRDefault="002514F3" w:rsidP="002514F3">
            <w:pPr>
              <w:pStyle w:val="TableRowCentered"/>
              <w:jc w:val="left"/>
              <w:rPr>
                <w:rFonts w:cs="Arial"/>
                <w:sz w:val="22"/>
              </w:rPr>
            </w:pPr>
            <w:r>
              <w:rPr>
                <w:rFonts w:cs="Arial"/>
                <w:sz w:val="22"/>
              </w:rPr>
              <w:t>Plus 7 months progress (EEF research)</w:t>
            </w:r>
          </w:p>
          <w:p w14:paraId="7C4D5FD1" w14:textId="77777777" w:rsidR="002514F3" w:rsidRDefault="002514F3" w:rsidP="002514F3">
            <w:pPr>
              <w:pStyle w:val="TableRowCentered"/>
              <w:jc w:val="left"/>
              <w:rPr>
                <w:rFonts w:cs="Arial"/>
                <w:sz w:val="22"/>
              </w:rPr>
            </w:pPr>
            <w:r>
              <w:rPr>
                <w:rFonts w:cs="Arial"/>
                <w:sz w:val="22"/>
              </w:rPr>
              <w:t xml:space="preserve">The potential impact of metacognition and self-regulation approaches is high </w:t>
            </w:r>
          </w:p>
          <w:p w14:paraId="0113143B" w14:textId="77777777" w:rsidR="00486499" w:rsidRPr="00486499" w:rsidRDefault="00486499" w:rsidP="00486499">
            <w:pPr>
              <w:shd w:val="clear" w:color="auto" w:fill="FFFFFF"/>
              <w:suppressAutoHyphens w:val="0"/>
              <w:autoSpaceDN/>
              <w:spacing w:before="150" w:after="150" w:line="240" w:lineRule="auto"/>
              <w:ind w:right="150"/>
              <w:rPr>
                <w:rFonts w:cs="Arial"/>
                <w:color w:val="3A3A3A"/>
                <w:sz w:val="22"/>
                <w:szCs w:val="22"/>
              </w:rPr>
            </w:pPr>
            <w:r w:rsidRPr="00486499">
              <w:rPr>
                <w:rFonts w:cs="Arial"/>
                <w:color w:val="3A3A3A"/>
                <w:sz w:val="22"/>
                <w:szCs w:val="22"/>
              </w:rPr>
              <w:t>TISUK’s training is highlighted in the DfE Advice to Schools: Mental Health and Behaviour in Schools DfE-00327-2018 as supporting and promoting positive mental health.</w:t>
            </w:r>
          </w:p>
          <w:p w14:paraId="02080AB6" w14:textId="7347567D" w:rsidR="002514F3" w:rsidRDefault="002514F3" w:rsidP="00F77A0C">
            <w:pPr>
              <w:pStyle w:val="TableRowCentered"/>
              <w:ind w:left="0"/>
              <w:jc w:val="left"/>
              <w:rPr>
                <w:sz w:val="22"/>
              </w:rPr>
            </w:pP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F78644" w14:textId="77777777" w:rsidR="001B3FC7" w:rsidRDefault="001B3FC7">
            <w:pPr>
              <w:pStyle w:val="TableRowCentered"/>
              <w:jc w:val="left"/>
              <w:rPr>
                <w:sz w:val="22"/>
              </w:rPr>
            </w:pPr>
            <w:r>
              <w:rPr>
                <w:sz w:val="22"/>
              </w:rPr>
              <w:t>4</w:t>
            </w:r>
          </w:p>
          <w:p w14:paraId="6AE6AF2C" w14:textId="77777777" w:rsidR="001B3FC7" w:rsidRDefault="001B3FC7">
            <w:pPr>
              <w:pStyle w:val="TableRowCentered"/>
              <w:jc w:val="left"/>
              <w:rPr>
                <w:sz w:val="22"/>
              </w:rPr>
            </w:pPr>
          </w:p>
          <w:p w14:paraId="2EDB2E56" w14:textId="77777777" w:rsidR="001B3FC7" w:rsidRDefault="001B3FC7">
            <w:pPr>
              <w:pStyle w:val="TableRowCentered"/>
              <w:jc w:val="left"/>
              <w:rPr>
                <w:sz w:val="22"/>
              </w:rPr>
            </w:pPr>
          </w:p>
          <w:p w14:paraId="098F8A37" w14:textId="192F3295" w:rsidR="001B3FC7" w:rsidRDefault="001B3FC7" w:rsidP="001B3FC7">
            <w:pPr>
              <w:pStyle w:val="TableRowCentered"/>
              <w:jc w:val="left"/>
              <w:rPr>
                <w:sz w:val="22"/>
              </w:rPr>
            </w:pPr>
          </w:p>
        </w:tc>
      </w:tr>
      <w:tr w:rsidR="001B3FC7" w14:paraId="7432D756" w14:textId="77777777" w:rsidTr="00B418C2">
        <w:trPr>
          <w:trHeight w:val="1965"/>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E5CCD8" w14:textId="77777777" w:rsidR="001B3FC7" w:rsidRDefault="001B3FC7" w:rsidP="009B2279">
            <w:pPr>
              <w:pStyle w:val="TableRow"/>
              <w:ind w:left="0"/>
            </w:pPr>
            <w:r w:rsidRPr="00CC6309">
              <w:t>Whole staff OT/sensory a</w:t>
            </w:r>
            <w:r>
              <w:t xml:space="preserve">wareness training </w:t>
            </w:r>
          </w:p>
          <w:p w14:paraId="22F07BCC" w14:textId="77777777" w:rsidR="001B3FC7" w:rsidRPr="00CC6309" w:rsidRDefault="001B3FC7" w:rsidP="009B2279">
            <w:pPr>
              <w:pStyle w:val="TableRow"/>
              <w:ind w:left="0"/>
            </w:pPr>
            <w:r>
              <w:t>£600</w:t>
            </w:r>
          </w:p>
          <w:p w14:paraId="7ECA085D" w14:textId="76282AA2" w:rsidR="001B3FC7" w:rsidRDefault="001B3FC7" w:rsidP="009B2279">
            <w:pPr>
              <w:pStyle w:val="TableRow"/>
              <w:ind w:left="0"/>
            </w:pPr>
          </w:p>
          <w:p w14:paraId="7DF8836E" w14:textId="41D71975" w:rsidR="00B418C2" w:rsidRDefault="00B418C2" w:rsidP="009B2279">
            <w:pPr>
              <w:pStyle w:val="TableRow"/>
              <w:ind w:left="0"/>
            </w:pPr>
          </w:p>
          <w:p w14:paraId="4161F343" w14:textId="77777777" w:rsidR="001B3FC7" w:rsidRPr="00284DA2" w:rsidRDefault="001B3FC7" w:rsidP="002A6BC2">
            <w:pPr>
              <w:pStyle w:val="TableRow"/>
              <w:ind w:left="0"/>
            </w:pP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3964129" w14:textId="01258085" w:rsidR="002567CA" w:rsidRPr="00A31A3A" w:rsidRDefault="00A31A3A" w:rsidP="00E63989">
            <w:pPr>
              <w:pStyle w:val="TableRowCentered"/>
              <w:ind w:left="0"/>
              <w:jc w:val="left"/>
              <w:rPr>
                <w:rFonts w:cs="Arial"/>
                <w:color w:val="2E2E2E"/>
                <w:sz w:val="22"/>
                <w:szCs w:val="22"/>
              </w:rPr>
            </w:pPr>
            <w:r>
              <w:rPr>
                <w:rFonts w:cs="Arial"/>
                <w:color w:val="2E2E2E"/>
                <w:sz w:val="22"/>
                <w:szCs w:val="22"/>
              </w:rPr>
              <w:t>F</w:t>
            </w:r>
            <w:r w:rsidR="002567CA" w:rsidRPr="00A31A3A">
              <w:rPr>
                <w:rFonts w:cs="Arial"/>
                <w:color w:val="2E2E2E"/>
                <w:sz w:val="22"/>
                <w:szCs w:val="22"/>
              </w:rPr>
              <w:t>indings emphasize the need to incorporate sensory processing in the Autism and Education 2020 strategy to ensure that autistic pupils can obtain positive learning experiences at school</w:t>
            </w:r>
          </w:p>
          <w:p w14:paraId="65BE3538" w14:textId="707A18A7" w:rsidR="00197ACD" w:rsidRPr="00162BA1" w:rsidRDefault="00B15404" w:rsidP="00CB41C1">
            <w:pPr>
              <w:pStyle w:val="TableRowCentered"/>
              <w:ind w:left="0"/>
              <w:jc w:val="left"/>
              <w:rPr>
                <w:rFonts w:ascii="Georgia" w:hAnsi="Georgia"/>
                <w:color w:val="2E2E2E"/>
                <w:sz w:val="22"/>
                <w:szCs w:val="22"/>
              </w:rPr>
            </w:pPr>
            <w:r w:rsidRPr="00A31A3A">
              <w:rPr>
                <w:rFonts w:cs="Arial"/>
                <w:color w:val="2E2E2E"/>
                <w:sz w:val="22"/>
                <w:szCs w:val="22"/>
              </w:rPr>
              <w:t xml:space="preserve"> </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FB3C13" w14:textId="77777777" w:rsidR="001B3FC7" w:rsidRDefault="001B3FC7">
            <w:pPr>
              <w:pStyle w:val="TableRowCentered"/>
              <w:jc w:val="left"/>
              <w:rPr>
                <w:sz w:val="22"/>
              </w:rPr>
            </w:pPr>
          </w:p>
          <w:p w14:paraId="233C9346" w14:textId="77777777" w:rsidR="001B3FC7" w:rsidRDefault="001B3FC7">
            <w:pPr>
              <w:pStyle w:val="TableRowCentered"/>
              <w:jc w:val="left"/>
              <w:rPr>
                <w:sz w:val="22"/>
              </w:rPr>
            </w:pPr>
            <w:r>
              <w:rPr>
                <w:sz w:val="22"/>
              </w:rPr>
              <w:t>4</w:t>
            </w:r>
          </w:p>
          <w:p w14:paraId="65EAAD42" w14:textId="77777777" w:rsidR="001B3FC7" w:rsidRDefault="001B3FC7">
            <w:pPr>
              <w:pStyle w:val="TableRowCentered"/>
              <w:jc w:val="left"/>
              <w:rPr>
                <w:sz w:val="22"/>
              </w:rPr>
            </w:pPr>
          </w:p>
          <w:p w14:paraId="7705AC18" w14:textId="77777777" w:rsidR="001B3FC7" w:rsidRDefault="001B3FC7">
            <w:pPr>
              <w:pStyle w:val="TableRowCentered"/>
              <w:jc w:val="left"/>
              <w:rPr>
                <w:sz w:val="22"/>
              </w:rPr>
            </w:pPr>
          </w:p>
          <w:p w14:paraId="2FA7FCDF" w14:textId="77777777" w:rsidR="001B3FC7" w:rsidRDefault="001B3FC7">
            <w:pPr>
              <w:pStyle w:val="TableRowCentered"/>
              <w:jc w:val="left"/>
              <w:rPr>
                <w:sz w:val="22"/>
              </w:rPr>
            </w:pPr>
          </w:p>
          <w:p w14:paraId="5A9CBD12" w14:textId="77777777" w:rsidR="001B3FC7" w:rsidRDefault="001B3FC7">
            <w:pPr>
              <w:pStyle w:val="TableRowCentered"/>
              <w:jc w:val="left"/>
              <w:rPr>
                <w:sz w:val="22"/>
              </w:rPr>
            </w:pPr>
          </w:p>
          <w:p w14:paraId="4D0C840D" w14:textId="211CFD8B" w:rsidR="001B3FC7" w:rsidRDefault="001B3FC7" w:rsidP="000E4434">
            <w:pPr>
              <w:pStyle w:val="TableRowCentered"/>
              <w:ind w:left="0"/>
              <w:jc w:val="left"/>
              <w:rPr>
                <w:sz w:val="22"/>
              </w:rPr>
            </w:pPr>
          </w:p>
        </w:tc>
      </w:tr>
      <w:tr w:rsidR="00B418C2" w14:paraId="75241116" w14:textId="77777777" w:rsidTr="00000104">
        <w:trPr>
          <w:trHeight w:val="2257"/>
        </w:trPr>
        <w:tc>
          <w:tcPr>
            <w:tcW w:w="268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067AD3" w14:textId="0D5FEE68" w:rsidR="00B418C2" w:rsidRDefault="00000104" w:rsidP="00B418C2">
            <w:pPr>
              <w:pStyle w:val="TableRow"/>
              <w:ind w:left="0"/>
            </w:pPr>
            <w:r>
              <w:t>CPD for Reading development.  Staff training to ensure they are using AR effectively.</w:t>
            </w:r>
          </w:p>
          <w:p w14:paraId="04A2C27A" w14:textId="77777777" w:rsidR="00B418C2" w:rsidRDefault="00B418C2" w:rsidP="00B418C2">
            <w:pPr>
              <w:pStyle w:val="TableRow"/>
              <w:ind w:left="0"/>
            </w:pPr>
            <w:r>
              <w:t xml:space="preserve">£1000 </w:t>
            </w:r>
          </w:p>
          <w:p w14:paraId="01E52F8E" w14:textId="4E55414B" w:rsidR="00B418C2" w:rsidRPr="00CC6309" w:rsidRDefault="00B418C2" w:rsidP="002A6BC2">
            <w:pPr>
              <w:pStyle w:val="TableRow"/>
              <w:ind w:left="0"/>
            </w:pPr>
          </w:p>
        </w:tc>
        <w:tc>
          <w:tcPr>
            <w:tcW w:w="42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5E0405" w14:textId="4B83312F" w:rsidR="00B418C2" w:rsidRPr="00A31A3A" w:rsidRDefault="006B4222" w:rsidP="00E63989">
            <w:pPr>
              <w:pStyle w:val="TableRowCentered"/>
              <w:ind w:left="0"/>
              <w:jc w:val="left"/>
              <w:rPr>
                <w:rFonts w:cs="Arial"/>
                <w:color w:val="2E2E2E"/>
                <w:sz w:val="22"/>
                <w:szCs w:val="22"/>
              </w:rPr>
            </w:pPr>
            <w:r>
              <w:rPr>
                <w:rFonts w:cs="Arial"/>
                <w:sz w:val="22"/>
              </w:rPr>
              <w:t>Reading comprehension strategies are high impact on average (+6 months). Alongside phonics it is a crucial component of early reading instruction</w:t>
            </w:r>
          </w:p>
        </w:tc>
        <w:tc>
          <w:tcPr>
            <w:tcW w:w="254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3BC268" w14:textId="77777777" w:rsidR="006B4222" w:rsidRDefault="006B4222" w:rsidP="001B3FC7">
            <w:pPr>
              <w:pStyle w:val="TableRowCentered"/>
              <w:jc w:val="left"/>
              <w:rPr>
                <w:rFonts w:cs="Arial"/>
                <w:sz w:val="22"/>
              </w:rPr>
            </w:pPr>
            <w:r>
              <w:rPr>
                <w:rFonts w:cs="Arial"/>
                <w:sz w:val="22"/>
              </w:rPr>
              <w:t xml:space="preserve">3  </w:t>
            </w:r>
          </w:p>
          <w:p w14:paraId="41CD1ED1" w14:textId="55BF59F4" w:rsidR="00B418C2" w:rsidRDefault="00B418C2" w:rsidP="001B3FC7">
            <w:pPr>
              <w:pStyle w:val="TableRowCentered"/>
              <w:jc w:val="left"/>
              <w:rPr>
                <w:sz w:val="22"/>
              </w:rPr>
            </w:pPr>
          </w:p>
        </w:tc>
      </w:tr>
      <w:tr w:rsidR="001B3FC7" w14:paraId="18063793" w14:textId="77777777" w:rsidTr="000E4434">
        <w:trPr>
          <w:trHeight w:val="1889"/>
        </w:trPr>
        <w:tc>
          <w:tcPr>
            <w:tcW w:w="26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CBE8" w14:textId="1CB13D7B" w:rsidR="001B3FC7" w:rsidRDefault="000E3BA6" w:rsidP="00B75E49">
            <w:pPr>
              <w:pStyle w:val="TableRow"/>
              <w:ind w:left="0"/>
            </w:pPr>
            <w:r>
              <w:t xml:space="preserve">Data </w:t>
            </w:r>
            <w:r w:rsidR="001B3FC7">
              <w:t>lead pupil support</w:t>
            </w:r>
            <w:r>
              <w:t xml:space="preserve"> small group / in class – or individual</w:t>
            </w:r>
          </w:p>
          <w:p w14:paraId="1E316464" w14:textId="77777777" w:rsidR="001B3FC7" w:rsidRDefault="001B3FC7" w:rsidP="00B75E49">
            <w:pPr>
              <w:pStyle w:val="TableRow"/>
              <w:ind w:left="0"/>
            </w:pPr>
          </w:p>
          <w:p w14:paraId="6CD39EED" w14:textId="77777777" w:rsidR="001B3FC7" w:rsidRPr="000E3BA6" w:rsidRDefault="001B3FC7" w:rsidP="00B75E49">
            <w:pPr>
              <w:pStyle w:val="TableRow"/>
              <w:ind w:left="0"/>
            </w:pPr>
            <w:r>
              <w:t>£24,885</w:t>
            </w:r>
          </w:p>
        </w:tc>
        <w:tc>
          <w:tcPr>
            <w:tcW w:w="42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4E283" w14:textId="52EF90C8" w:rsidR="001B3FC7" w:rsidRDefault="007114AE" w:rsidP="00E63989">
            <w:pPr>
              <w:pStyle w:val="TableRowCentered"/>
              <w:ind w:left="0"/>
              <w:jc w:val="left"/>
              <w:rPr>
                <w:sz w:val="22"/>
              </w:rPr>
            </w:pPr>
            <w:r>
              <w:rPr>
                <w:rFonts w:cs="Arial"/>
                <w:sz w:val="22"/>
              </w:rPr>
              <w:t>Evidence indicates that one to one tuition can be effective, providing approximately five additional months’ progress on average</w:t>
            </w:r>
          </w:p>
        </w:tc>
        <w:tc>
          <w:tcPr>
            <w:tcW w:w="25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6B2B" w14:textId="7BCA11F5" w:rsidR="001B3FC7" w:rsidRDefault="00BE1237" w:rsidP="001B3FC7">
            <w:pPr>
              <w:pStyle w:val="TableRowCentered"/>
              <w:jc w:val="left"/>
              <w:rPr>
                <w:sz w:val="22"/>
              </w:rPr>
            </w:pPr>
            <w:r>
              <w:rPr>
                <w:sz w:val="22"/>
              </w:rPr>
              <w:t>4</w:t>
            </w:r>
          </w:p>
        </w:tc>
      </w:tr>
      <w:tr w:rsidR="00E66558" w14:paraId="2A7D5521" w14:textId="77777777" w:rsidTr="00D367C5">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78F24A" w14:textId="77777777" w:rsidR="00E66558" w:rsidRDefault="00D367C5">
            <w:pPr>
              <w:pStyle w:val="TableRow"/>
              <w:rPr>
                <w:i/>
                <w:sz w:val="22"/>
              </w:rPr>
            </w:pPr>
            <w:r>
              <w:rPr>
                <w:i/>
                <w:sz w:val="22"/>
              </w:rPr>
              <w:t>EFL training</w:t>
            </w:r>
          </w:p>
          <w:p w14:paraId="2A7D551E" w14:textId="5F6A1B02" w:rsidR="002A6BC2" w:rsidRDefault="002A6BC2">
            <w:pPr>
              <w:pStyle w:val="TableRow"/>
              <w:rPr>
                <w:i/>
                <w:sz w:val="22"/>
              </w:rPr>
            </w:pPr>
            <w:r>
              <w:rPr>
                <w:i/>
                <w:sz w:val="22"/>
              </w:rPr>
              <w:t>£1000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C34FA6A" w:rsidR="00E66558" w:rsidRDefault="00BE1237">
            <w:pPr>
              <w:pStyle w:val="TableRowCentered"/>
              <w:jc w:val="left"/>
              <w:rPr>
                <w:sz w:val="22"/>
              </w:rPr>
            </w:pPr>
            <w:r>
              <w:rPr>
                <w:sz w:val="22"/>
              </w:rPr>
              <w:t>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00EED69" w:rsidR="00E66558" w:rsidRDefault="009D71E8">
      <w:r>
        <w:t xml:space="preserve">Budgeted cost: £ </w:t>
      </w:r>
      <w:r w:rsidR="005357CC">
        <w:rPr>
          <w:i/>
          <w:iCs/>
        </w:rPr>
        <w:t>51,</w:t>
      </w:r>
      <w:r w:rsidR="00C72997">
        <w:rPr>
          <w:i/>
          <w:iCs/>
        </w:rPr>
        <w:t>865  (+£24,3</w:t>
      </w:r>
      <w:r w:rsidR="00C72997" w:rsidRPr="00C72997">
        <w:rPr>
          <w:i/>
          <w:iCs/>
        </w:rPr>
        <w:t>22</w:t>
      </w:r>
      <w:r w:rsidR="00421A9F" w:rsidRPr="00C72997">
        <w:rPr>
          <w:i/>
          <w:iCs/>
        </w:rPr>
        <w:t xml:space="preserve"> Tutor lead funding grant)</w:t>
      </w:r>
    </w:p>
    <w:tbl>
      <w:tblPr>
        <w:tblW w:w="5000" w:type="pct"/>
        <w:tblCellMar>
          <w:left w:w="10" w:type="dxa"/>
          <w:right w:w="10" w:type="dxa"/>
        </w:tblCellMar>
        <w:tblLook w:val="04A0" w:firstRow="1" w:lastRow="0" w:firstColumn="1" w:lastColumn="0" w:noHBand="0" w:noVBand="1"/>
      </w:tblPr>
      <w:tblGrid>
        <w:gridCol w:w="2498"/>
        <w:gridCol w:w="4627"/>
        <w:gridCol w:w="2361"/>
      </w:tblGrid>
      <w:tr w:rsidR="00E66558" w14:paraId="2A7D5528" w14:textId="77777777" w:rsidTr="00DE4FB6">
        <w:tc>
          <w:tcPr>
            <w:tcW w:w="24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2514F3">
        <w:trPr>
          <w:trHeight w:val="2265"/>
        </w:trPr>
        <w:tc>
          <w:tcPr>
            <w:tcW w:w="249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9" w14:textId="3600E74A" w:rsidR="001271C6" w:rsidRDefault="00B75E49" w:rsidP="00DF7B8E">
            <w:pPr>
              <w:pStyle w:val="TableRow"/>
              <w:ind w:left="0"/>
            </w:pPr>
            <w:r>
              <w:t xml:space="preserve">1,1 Tutoring for identified pupils  </w:t>
            </w:r>
            <w:r w:rsidR="00761442">
              <w:t xml:space="preserve">with a focus on </w:t>
            </w:r>
            <w:r w:rsidR="00A7139F">
              <w:t>personalised</w:t>
            </w:r>
            <w:r w:rsidR="00761442">
              <w:t xml:space="preserve"> support </w:t>
            </w:r>
            <w:r w:rsidR="00A7139F">
              <w:t xml:space="preserve">to accelerate progress.  </w:t>
            </w:r>
            <w:r w:rsidR="00DF7B8E">
              <w:t>( 2 days a week)</w:t>
            </w:r>
          </w:p>
        </w:tc>
        <w:tc>
          <w:tcPr>
            <w:tcW w:w="46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A" w14:textId="2080439A" w:rsidR="00E66558" w:rsidRDefault="000E4434">
            <w:pPr>
              <w:pStyle w:val="TableRowCentered"/>
              <w:jc w:val="left"/>
              <w:rPr>
                <w:sz w:val="22"/>
              </w:rPr>
            </w:pPr>
            <w:r>
              <w:rPr>
                <w:rFonts w:cs="Arial"/>
                <w:sz w:val="22"/>
              </w:rPr>
              <w:t>Evidence indicates that one to one tuition can be effective, providing approximately five additional months’ progress on average</w:t>
            </w:r>
          </w:p>
        </w:tc>
        <w:tc>
          <w:tcPr>
            <w:tcW w:w="23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B" w14:textId="45903743" w:rsidR="00E66558" w:rsidRDefault="007653BF">
            <w:pPr>
              <w:pStyle w:val="TableRowCentered"/>
              <w:jc w:val="left"/>
              <w:rPr>
                <w:sz w:val="22"/>
              </w:rPr>
            </w:pPr>
            <w:r>
              <w:rPr>
                <w:sz w:val="22"/>
              </w:rPr>
              <w:t>4/1</w:t>
            </w:r>
          </w:p>
        </w:tc>
      </w:tr>
      <w:tr w:rsidR="002514F3" w14:paraId="2DE56D89" w14:textId="77777777" w:rsidTr="002514F3">
        <w:trPr>
          <w:trHeight w:val="660"/>
        </w:trPr>
        <w:tc>
          <w:tcPr>
            <w:tcW w:w="24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122F43" w14:textId="63E71BBA" w:rsidR="00C72997" w:rsidRDefault="00C72997" w:rsidP="002514F3">
            <w:pPr>
              <w:pStyle w:val="TableRow"/>
              <w:ind w:left="0"/>
            </w:pPr>
            <w:r w:rsidRPr="00C72997">
              <w:t>Tutor lead funding used for an additional</w:t>
            </w:r>
            <w:r>
              <w:t xml:space="preserve"> member of staff to release specialist staff to work with individual pupils or small groups.</w:t>
            </w:r>
          </w:p>
          <w:p w14:paraId="547E1F08" w14:textId="77777777" w:rsidR="00C72997" w:rsidRDefault="00C72997" w:rsidP="002514F3">
            <w:pPr>
              <w:pStyle w:val="TableRow"/>
              <w:ind w:left="0"/>
            </w:pPr>
          </w:p>
          <w:p w14:paraId="24BD0D9D" w14:textId="0B86FBFF" w:rsidR="00C72997" w:rsidRDefault="00C72997" w:rsidP="002514F3">
            <w:pPr>
              <w:pStyle w:val="TableRow"/>
              <w:ind w:left="0"/>
            </w:pPr>
          </w:p>
        </w:tc>
        <w:tc>
          <w:tcPr>
            <w:tcW w:w="46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3C002BA" w14:textId="73AE3E56" w:rsidR="002514F3" w:rsidRDefault="000E4434">
            <w:pPr>
              <w:pStyle w:val="TableRowCentered"/>
              <w:jc w:val="left"/>
              <w:rPr>
                <w:sz w:val="22"/>
              </w:rPr>
            </w:pPr>
            <w:r>
              <w:rPr>
                <w:rFonts w:cs="Arial"/>
                <w:sz w:val="22"/>
              </w:rPr>
              <w:t>Evidence indicates that one to one tuition can be effective, providing approximately five additional months’ progress on average</w:t>
            </w:r>
          </w:p>
        </w:tc>
        <w:tc>
          <w:tcPr>
            <w:tcW w:w="23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8354001" w14:textId="4373834D" w:rsidR="002514F3" w:rsidRDefault="00DF7B8E" w:rsidP="002514F3">
            <w:pPr>
              <w:pStyle w:val="TableRowCentered"/>
              <w:jc w:val="left"/>
              <w:rPr>
                <w:sz w:val="22"/>
              </w:rPr>
            </w:pPr>
            <w:r>
              <w:rPr>
                <w:sz w:val="22"/>
              </w:rPr>
              <w:t>3</w:t>
            </w:r>
          </w:p>
        </w:tc>
      </w:tr>
      <w:tr w:rsidR="009A59F4" w14:paraId="479886BE" w14:textId="77777777" w:rsidTr="00DE4FB6">
        <w:trPr>
          <w:trHeight w:val="1680"/>
        </w:trPr>
        <w:tc>
          <w:tcPr>
            <w:tcW w:w="249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803B" w14:textId="2A4348A1" w:rsidR="00BD06FA" w:rsidRDefault="009A59F4" w:rsidP="00B75E49">
            <w:pPr>
              <w:pStyle w:val="TableRow"/>
              <w:ind w:left="0"/>
            </w:pPr>
            <w:r>
              <w:lastRenderedPageBreak/>
              <w:t xml:space="preserve">Additional TA support – allocated to decrease group size or support with data </w:t>
            </w:r>
          </w:p>
        </w:tc>
        <w:tc>
          <w:tcPr>
            <w:tcW w:w="46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7BF02" w14:textId="77777777" w:rsidR="00187B83" w:rsidRPr="007E62E4" w:rsidRDefault="00187B83" w:rsidP="00187B83">
            <w:pPr>
              <w:suppressAutoHyphens w:val="0"/>
              <w:spacing w:before="60" w:after="60" w:line="240" w:lineRule="auto"/>
              <w:ind w:left="57" w:right="57"/>
              <w:rPr>
                <w:color w:val="auto"/>
                <w:sz w:val="22"/>
                <w:szCs w:val="22"/>
              </w:rPr>
            </w:pPr>
            <w:r w:rsidRPr="007E62E4">
              <w:rPr>
                <w:color w:val="auto"/>
                <w:sz w:val="22"/>
                <w:szCs w:val="22"/>
              </w:rPr>
              <w:t>Tuition targeted at specific needs and knowledge gaps can be an effective method to support low attaining pupils or those falling behind, both one-to-one:</w:t>
            </w:r>
          </w:p>
          <w:p w14:paraId="6D7770E9" w14:textId="77777777" w:rsidR="00187B83" w:rsidRPr="007E62E4" w:rsidRDefault="00BF0972" w:rsidP="00187B83">
            <w:pPr>
              <w:suppressAutoHyphens w:val="0"/>
              <w:spacing w:before="60" w:after="60" w:line="240" w:lineRule="auto"/>
              <w:ind w:left="57" w:right="57"/>
              <w:rPr>
                <w:color w:val="0070C0"/>
                <w:sz w:val="22"/>
                <w:szCs w:val="22"/>
              </w:rPr>
            </w:pPr>
            <w:hyperlink r:id="rId7" w:history="1">
              <w:r w:rsidR="00187B83" w:rsidRPr="007E62E4">
                <w:rPr>
                  <w:rStyle w:val="Hyperlink"/>
                  <w:color w:val="0070C0"/>
                  <w:sz w:val="22"/>
                  <w:szCs w:val="22"/>
                </w:rPr>
                <w:t>One to one tuition | EEF (educationendowmentfoundation.org.uk)</w:t>
              </w:r>
            </w:hyperlink>
          </w:p>
          <w:p w14:paraId="1A339BE6" w14:textId="77777777" w:rsidR="00187B83" w:rsidRPr="007E62E4" w:rsidRDefault="00187B83" w:rsidP="00187B83">
            <w:pPr>
              <w:suppressAutoHyphens w:val="0"/>
              <w:spacing w:before="60" w:after="60" w:line="240" w:lineRule="auto"/>
              <w:ind w:left="57" w:right="57"/>
              <w:rPr>
                <w:color w:val="auto"/>
                <w:sz w:val="22"/>
                <w:szCs w:val="22"/>
              </w:rPr>
            </w:pPr>
            <w:r w:rsidRPr="007E62E4">
              <w:rPr>
                <w:color w:val="auto"/>
                <w:sz w:val="22"/>
                <w:szCs w:val="22"/>
              </w:rPr>
              <w:t>And in small groups:</w:t>
            </w:r>
          </w:p>
          <w:p w14:paraId="226836D2" w14:textId="48F086C5" w:rsidR="009A59F4" w:rsidRPr="007E62E4" w:rsidRDefault="00BF0972" w:rsidP="00187B83">
            <w:pPr>
              <w:pStyle w:val="TableRowCentered"/>
              <w:jc w:val="left"/>
              <w:rPr>
                <w:sz w:val="22"/>
                <w:szCs w:val="22"/>
              </w:rPr>
            </w:pPr>
            <w:hyperlink r:id="rId8" w:history="1">
              <w:r w:rsidR="00187B83" w:rsidRPr="007E62E4">
                <w:rPr>
                  <w:rStyle w:val="Hyperlink"/>
                  <w:color w:val="0070C0"/>
                  <w:sz w:val="22"/>
                  <w:szCs w:val="22"/>
                </w:rPr>
                <w:t>Small group tuition | Toolkit Strand | Education Endowment Foundation | EEF</w:t>
              </w:r>
            </w:hyperlink>
          </w:p>
        </w:tc>
        <w:tc>
          <w:tcPr>
            <w:tcW w:w="23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BD289" w14:textId="0364BF2A" w:rsidR="009A59F4" w:rsidRDefault="007653BF">
            <w:pPr>
              <w:pStyle w:val="TableRowCentered"/>
              <w:jc w:val="left"/>
              <w:rPr>
                <w:sz w:val="22"/>
              </w:rPr>
            </w:pPr>
            <w:r>
              <w:rPr>
                <w:sz w:val="22"/>
              </w:rPr>
              <w:t>4/1</w:t>
            </w:r>
          </w:p>
        </w:tc>
      </w:tr>
      <w:tr w:rsidR="00E66558" w14:paraId="2A7D5530" w14:textId="77777777" w:rsidTr="00DE4FB6">
        <w:trPr>
          <w:trHeight w:val="660"/>
        </w:trPr>
        <w:tc>
          <w:tcPr>
            <w:tcW w:w="249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44A264A" w14:textId="77777777" w:rsidR="00E66558" w:rsidRPr="00507CEC" w:rsidRDefault="00D367C5">
            <w:pPr>
              <w:pStyle w:val="TableRow"/>
              <w:rPr>
                <w:iCs/>
                <w:sz w:val="22"/>
              </w:rPr>
            </w:pPr>
            <w:r w:rsidRPr="00507CEC">
              <w:rPr>
                <w:iCs/>
                <w:sz w:val="22"/>
              </w:rPr>
              <w:t>Music mentoring 1 day per week</w:t>
            </w:r>
          </w:p>
          <w:p w14:paraId="2A7D552D" w14:textId="6C1B8138" w:rsidR="00D367C5" w:rsidRDefault="002214C6">
            <w:pPr>
              <w:pStyle w:val="TableRow"/>
              <w:rPr>
                <w:i/>
                <w:sz w:val="22"/>
              </w:rPr>
            </w:pPr>
            <w:r>
              <w:rPr>
                <w:i/>
                <w:sz w:val="22"/>
              </w:rPr>
              <w:t>£</w:t>
            </w:r>
            <w:r w:rsidR="00462C07">
              <w:rPr>
                <w:i/>
                <w:sz w:val="22"/>
              </w:rPr>
              <w:t>7800</w:t>
            </w:r>
            <w:r>
              <w:rPr>
                <w:i/>
                <w:sz w:val="22"/>
              </w:rPr>
              <w:t xml:space="preserve"> (£</w:t>
            </w:r>
            <w:r w:rsidR="00463FD0">
              <w:rPr>
                <w:i/>
                <w:sz w:val="22"/>
              </w:rPr>
              <w:t>200</w:t>
            </w:r>
            <w:r>
              <w:rPr>
                <w:i/>
                <w:sz w:val="22"/>
              </w:rPr>
              <w:t xml:space="preserve"> per day x 39 – inclusive of room and basic resources) </w:t>
            </w:r>
          </w:p>
        </w:tc>
        <w:tc>
          <w:tcPr>
            <w:tcW w:w="462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E" w14:textId="3CC4EFC9" w:rsidR="00E66558" w:rsidRPr="007E62E4" w:rsidRDefault="00C33840">
            <w:pPr>
              <w:pStyle w:val="TableRowCentered"/>
              <w:jc w:val="left"/>
              <w:rPr>
                <w:rFonts w:cs="Arial"/>
                <w:sz w:val="22"/>
                <w:szCs w:val="22"/>
              </w:rPr>
            </w:pPr>
            <w:r w:rsidRPr="007E62E4">
              <w:rPr>
                <w:rFonts w:cs="Arial"/>
                <w:color w:val="282828"/>
                <w:sz w:val="22"/>
                <w:szCs w:val="22"/>
                <w:shd w:val="clear" w:color="auto" w:fill="FFFFFF"/>
              </w:rPr>
              <w:t>The Music Mentors involved in this project are Trauma and Mental Health Informed (TIS) Practitioners, having undertaken a Diploma with T</w:t>
            </w:r>
            <w:r w:rsidR="00A374C9">
              <w:rPr>
                <w:rFonts w:cs="Arial"/>
                <w:color w:val="282828"/>
                <w:sz w:val="22"/>
                <w:szCs w:val="22"/>
                <w:shd w:val="clear" w:color="auto" w:fill="FFFFFF"/>
              </w:rPr>
              <w:t>r</w:t>
            </w:r>
            <w:r w:rsidRPr="007E62E4">
              <w:rPr>
                <w:rFonts w:cs="Arial"/>
                <w:color w:val="282828"/>
                <w:sz w:val="22"/>
                <w:szCs w:val="22"/>
                <w:shd w:val="clear" w:color="auto" w:fill="FFFFFF"/>
              </w:rPr>
              <w:t xml:space="preserve">auma Informed Schools UK (funded by HeadStart Kernow). This means that the Music Mentoring is underpinned by the neuroscientific models used in TIS (more detail on this coming in another blog). It is the careful and </w:t>
            </w:r>
            <w:r w:rsidR="00A374C9" w:rsidRPr="007E62E4">
              <w:rPr>
                <w:rFonts w:cs="Arial"/>
                <w:color w:val="282828"/>
                <w:sz w:val="22"/>
                <w:szCs w:val="22"/>
                <w:shd w:val="clear" w:color="auto" w:fill="FFFFFF"/>
              </w:rPr>
              <w:t>skilful</w:t>
            </w:r>
            <w:r w:rsidRPr="007E62E4">
              <w:rPr>
                <w:rFonts w:cs="Arial"/>
                <w:color w:val="282828"/>
                <w:sz w:val="22"/>
                <w:szCs w:val="22"/>
                <w:shd w:val="clear" w:color="auto" w:fill="FFFFFF"/>
              </w:rPr>
              <w:t xml:space="preserve"> balance of using music as an experiential and regulating activity and also as a means to support children with being able to reflect on their behaviours and their life events. </w:t>
            </w:r>
          </w:p>
        </w:tc>
        <w:tc>
          <w:tcPr>
            <w:tcW w:w="236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F" w14:textId="3433B1F6" w:rsidR="00E66558" w:rsidRDefault="004769A2">
            <w:pPr>
              <w:pStyle w:val="TableRowCentered"/>
              <w:jc w:val="left"/>
              <w:rPr>
                <w:sz w:val="22"/>
              </w:rPr>
            </w:pPr>
            <w:r>
              <w:rPr>
                <w:sz w:val="22"/>
              </w:rPr>
              <w:t>1</w:t>
            </w:r>
          </w:p>
        </w:tc>
      </w:tr>
      <w:tr w:rsidR="00D367C5" w14:paraId="25F676E3" w14:textId="77777777" w:rsidTr="00DE4FB6">
        <w:trPr>
          <w:trHeight w:val="1200"/>
        </w:trPr>
        <w:tc>
          <w:tcPr>
            <w:tcW w:w="24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4885B1" w14:textId="77777777" w:rsidR="00D367C5" w:rsidRDefault="00867CB6" w:rsidP="00D367C5">
            <w:pPr>
              <w:pStyle w:val="TableRow"/>
              <w:rPr>
                <w:iCs/>
                <w:sz w:val="22"/>
              </w:rPr>
            </w:pPr>
            <w:r>
              <w:rPr>
                <w:iCs/>
                <w:sz w:val="22"/>
              </w:rPr>
              <w:t xml:space="preserve">Release time for tutors to </w:t>
            </w:r>
            <w:r w:rsidR="007B42CA">
              <w:rPr>
                <w:iCs/>
                <w:sz w:val="22"/>
              </w:rPr>
              <w:t xml:space="preserve">support on </w:t>
            </w:r>
            <w:r w:rsidR="006C6834">
              <w:rPr>
                <w:iCs/>
                <w:sz w:val="22"/>
              </w:rPr>
              <w:t>targeted</w:t>
            </w:r>
            <w:r w:rsidR="007B42CA">
              <w:rPr>
                <w:iCs/>
                <w:sz w:val="22"/>
              </w:rPr>
              <w:t xml:space="preserve"> feedback and liaison with parents.  </w:t>
            </w:r>
          </w:p>
          <w:p w14:paraId="009885F7" w14:textId="6210013F" w:rsidR="00246C94" w:rsidRDefault="006B5029" w:rsidP="00D367C5">
            <w:pPr>
              <w:pStyle w:val="TableRow"/>
              <w:rPr>
                <w:iCs/>
                <w:sz w:val="22"/>
              </w:rPr>
            </w:pPr>
            <w:r>
              <w:rPr>
                <w:iCs/>
                <w:sz w:val="22"/>
              </w:rPr>
              <w:t>Scripted</w:t>
            </w:r>
            <w:r w:rsidR="006E198A">
              <w:rPr>
                <w:iCs/>
                <w:sz w:val="22"/>
              </w:rPr>
              <w:t xml:space="preserve"> </w:t>
            </w:r>
            <w:r w:rsidR="003C0A3A">
              <w:rPr>
                <w:iCs/>
                <w:sz w:val="22"/>
              </w:rPr>
              <w:t>interview</w:t>
            </w:r>
            <w:r w:rsidR="006E198A">
              <w:rPr>
                <w:iCs/>
                <w:sz w:val="22"/>
              </w:rPr>
              <w:t xml:space="preserve"> – based on </w:t>
            </w:r>
            <w:r w:rsidR="00DF7B8E">
              <w:rPr>
                <w:iCs/>
                <w:sz w:val="22"/>
              </w:rPr>
              <w:t>AFA</w:t>
            </w:r>
          </w:p>
          <w:p w14:paraId="2B379917" w14:textId="77777777" w:rsidR="000A15B5" w:rsidRDefault="000A15B5" w:rsidP="00D367C5">
            <w:pPr>
              <w:pStyle w:val="TableRow"/>
              <w:rPr>
                <w:iCs/>
                <w:sz w:val="22"/>
              </w:rPr>
            </w:pPr>
          </w:p>
          <w:p w14:paraId="3463F8B6" w14:textId="19D0B479" w:rsidR="000A15B5" w:rsidRPr="00322F01" w:rsidRDefault="000A15B5" w:rsidP="00D367C5">
            <w:pPr>
              <w:pStyle w:val="TableRow"/>
              <w:rPr>
                <w:iCs/>
                <w:sz w:val="22"/>
              </w:rPr>
            </w:pPr>
            <w:r>
              <w:rPr>
                <w:iCs/>
                <w:sz w:val="22"/>
              </w:rPr>
              <w:t xml:space="preserve">£6300  ( each teacher 1 day per term additionality) </w:t>
            </w:r>
          </w:p>
        </w:tc>
        <w:tc>
          <w:tcPr>
            <w:tcW w:w="46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C7ECAF3" w14:textId="025C6130" w:rsidR="00D46FDD" w:rsidRDefault="008B2F67">
            <w:pPr>
              <w:pStyle w:val="TableRowCentered"/>
              <w:jc w:val="left"/>
              <w:rPr>
                <w:sz w:val="22"/>
                <w:szCs w:val="22"/>
              </w:rPr>
            </w:pPr>
            <w:r w:rsidRPr="00881F16">
              <w:rPr>
                <w:sz w:val="22"/>
                <w:szCs w:val="22"/>
              </w:rPr>
              <w:t>Struct</w:t>
            </w:r>
            <w:r w:rsidR="00D46FDD">
              <w:rPr>
                <w:sz w:val="22"/>
                <w:szCs w:val="22"/>
              </w:rPr>
              <w:t>ured Conversations with Parents</w:t>
            </w:r>
            <w:r w:rsidRPr="00881F16">
              <w:rPr>
                <w:sz w:val="22"/>
                <w:szCs w:val="22"/>
              </w:rPr>
              <w:t xml:space="preserve">, schools and parents alike consider this to be the outstanding success story of </w:t>
            </w:r>
            <w:r w:rsidRPr="00C72997">
              <w:rPr>
                <w:sz w:val="22"/>
                <w:szCs w:val="22"/>
              </w:rPr>
              <w:t>the AfA</w:t>
            </w:r>
            <w:r w:rsidRPr="00881F16">
              <w:rPr>
                <w:sz w:val="22"/>
                <w:szCs w:val="22"/>
              </w:rPr>
              <w:t xml:space="preserve"> so far: </w:t>
            </w:r>
          </w:p>
          <w:p w14:paraId="02EB91B0" w14:textId="676A7EA8" w:rsidR="00D46FDD" w:rsidRDefault="008B2F67" w:rsidP="00D46FDD">
            <w:pPr>
              <w:pStyle w:val="TableRowCentered"/>
              <w:numPr>
                <w:ilvl w:val="0"/>
                <w:numId w:val="20"/>
              </w:numPr>
              <w:jc w:val="left"/>
              <w:rPr>
                <w:sz w:val="22"/>
                <w:szCs w:val="22"/>
              </w:rPr>
            </w:pPr>
            <w:r w:rsidRPr="00881F16">
              <w:rPr>
                <w:sz w:val="22"/>
                <w:szCs w:val="22"/>
              </w:rPr>
              <w:t xml:space="preserve">The conversations are providing a more holistic view of pupils, have led to a culture shift in parental engagement, and have been effective in building a genuine partnership between home and school for pupils with SEND. </w:t>
            </w:r>
          </w:p>
          <w:p w14:paraId="393BA6BE" w14:textId="7DD7A2A8" w:rsidR="00D46FDD" w:rsidRDefault="008B2F67" w:rsidP="00D46FDD">
            <w:pPr>
              <w:pStyle w:val="TableRowCentered"/>
              <w:numPr>
                <w:ilvl w:val="0"/>
                <w:numId w:val="20"/>
              </w:numPr>
              <w:jc w:val="left"/>
              <w:rPr>
                <w:sz w:val="22"/>
                <w:szCs w:val="22"/>
              </w:rPr>
            </w:pPr>
            <w:r w:rsidRPr="00881F16">
              <w:rPr>
                <w:sz w:val="22"/>
                <w:szCs w:val="22"/>
              </w:rPr>
              <w:t>Parents feel more included in the process of their children’s education, more empowered, and have sensed a change in the dynamic of their interactions with school staff.</w:t>
            </w:r>
          </w:p>
          <w:p w14:paraId="4FD6950D" w14:textId="370A7F5E" w:rsidR="00D367C5" w:rsidRDefault="008B2F67" w:rsidP="00D46FDD">
            <w:pPr>
              <w:pStyle w:val="TableRowCentered"/>
              <w:numPr>
                <w:ilvl w:val="0"/>
                <w:numId w:val="20"/>
              </w:numPr>
              <w:jc w:val="left"/>
              <w:rPr>
                <w:sz w:val="22"/>
                <w:szCs w:val="22"/>
              </w:rPr>
            </w:pPr>
            <w:r w:rsidRPr="00881F16">
              <w:rPr>
                <w:sz w:val="22"/>
                <w:szCs w:val="22"/>
              </w:rPr>
              <w:t xml:space="preserve">Although there have been a small but significant minority of ‘hard to reach’ parents, schools have expressed determination to engage them by extending or adapting arrangements – e.g. home visits, evening or weekend meetings, putting on transportation, using other parents as advocates. </w:t>
            </w:r>
          </w:p>
          <w:p w14:paraId="7A49291E" w14:textId="63871251" w:rsidR="00D46FDD" w:rsidRDefault="00D46FDD">
            <w:pPr>
              <w:pStyle w:val="TableRowCentered"/>
              <w:jc w:val="left"/>
              <w:rPr>
                <w:sz w:val="22"/>
              </w:rPr>
            </w:pPr>
          </w:p>
        </w:tc>
        <w:tc>
          <w:tcPr>
            <w:tcW w:w="23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BB5D48" w14:textId="3E3F057B" w:rsidR="00D367C5" w:rsidRDefault="004769A2">
            <w:pPr>
              <w:pStyle w:val="TableRowCentered"/>
              <w:jc w:val="left"/>
              <w:rPr>
                <w:sz w:val="22"/>
              </w:rPr>
            </w:pPr>
            <w:r>
              <w:rPr>
                <w:sz w:val="22"/>
              </w:rPr>
              <w:t>4</w:t>
            </w:r>
          </w:p>
        </w:tc>
      </w:tr>
      <w:tr w:rsidR="00DE4FB6" w14:paraId="594E1F44" w14:textId="77777777" w:rsidTr="00DE4FB6">
        <w:trPr>
          <w:trHeight w:val="824"/>
        </w:trPr>
        <w:tc>
          <w:tcPr>
            <w:tcW w:w="24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116E115" w14:textId="446679A9" w:rsidR="00DE4FB6" w:rsidRDefault="00DE4FB6" w:rsidP="00DE4FB6">
            <w:pPr>
              <w:pStyle w:val="TableRow"/>
              <w:rPr>
                <w:iCs/>
                <w:sz w:val="22"/>
              </w:rPr>
            </w:pPr>
            <w:r>
              <w:rPr>
                <w:iCs/>
                <w:sz w:val="22"/>
              </w:rPr>
              <w:t>Purchase 1 day a week of OT support</w:t>
            </w:r>
          </w:p>
          <w:p w14:paraId="2A560FF4" w14:textId="42AEC906" w:rsidR="00DE4FB6" w:rsidRDefault="00DE4FB6" w:rsidP="00DE4FB6">
            <w:pPr>
              <w:pStyle w:val="TableRow"/>
              <w:rPr>
                <w:iCs/>
                <w:sz w:val="22"/>
              </w:rPr>
            </w:pPr>
          </w:p>
          <w:p w14:paraId="4662CCA9" w14:textId="2A50CED0" w:rsidR="00DE4FB6" w:rsidRDefault="00DE4FB6" w:rsidP="00DE4FB6">
            <w:pPr>
              <w:pStyle w:val="TableRow"/>
              <w:rPr>
                <w:iCs/>
                <w:sz w:val="22"/>
              </w:rPr>
            </w:pPr>
            <w:r>
              <w:rPr>
                <w:iCs/>
                <w:sz w:val="22"/>
              </w:rPr>
              <w:t>£600 per day x 39</w:t>
            </w:r>
          </w:p>
          <w:p w14:paraId="791AD9AD" w14:textId="7D7704B6" w:rsidR="00DE4FB6" w:rsidRDefault="00DE4FB6" w:rsidP="00DE4FB6">
            <w:pPr>
              <w:pStyle w:val="TableRow"/>
              <w:rPr>
                <w:iCs/>
                <w:sz w:val="22"/>
              </w:rPr>
            </w:pPr>
            <w:r>
              <w:rPr>
                <w:iCs/>
                <w:sz w:val="22"/>
              </w:rPr>
              <w:t>£2940</w:t>
            </w:r>
          </w:p>
          <w:p w14:paraId="664D1393" w14:textId="77777777" w:rsidR="00DE4FB6" w:rsidRDefault="00DE4FB6" w:rsidP="00DE4FB6">
            <w:pPr>
              <w:pStyle w:val="TableRow"/>
              <w:rPr>
                <w:iCs/>
                <w:sz w:val="22"/>
              </w:rPr>
            </w:pPr>
          </w:p>
        </w:tc>
        <w:tc>
          <w:tcPr>
            <w:tcW w:w="46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D3C24F" w14:textId="77777777" w:rsidR="00C90BA7" w:rsidRPr="00A31A3A" w:rsidRDefault="00C90BA7" w:rsidP="00C90BA7">
            <w:pPr>
              <w:pStyle w:val="TableRowCentered"/>
              <w:ind w:left="0"/>
              <w:jc w:val="left"/>
              <w:rPr>
                <w:rFonts w:cs="Arial"/>
                <w:color w:val="2E2E2E"/>
                <w:sz w:val="22"/>
                <w:szCs w:val="22"/>
              </w:rPr>
            </w:pPr>
            <w:r>
              <w:rPr>
                <w:rFonts w:cs="Arial"/>
                <w:color w:val="2E2E2E"/>
                <w:sz w:val="22"/>
                <w:szCs w:val="22"/>
              </w:rPr>
              <w:t>F</w:t>
            </w:r>
            <w:r w:rsidRPr="00A31A3A">
              <w:rPr>
                <w:rFonts w:cs="Arial"/>
                <w:color w:val="2E2E2E"/>
                <w:sz w:val="22"/>
                <w:szCs w:val="22"/>
              </w:rPr>
              <w:t>indings emphasize the need to incorporate sensory processing in the Autism and Education 2020 strategy to ensure that autistic pupils can obtain positive learning experiences at school</w:t>
            </w:r>
          </w:p>
          <w:p w14:paraId="35F4DCFF" w14:textId="635580A3" w:rsidR="00DE4FB6" w:rsidRDefault="00C90BA7" w:rsidP="00D46FDD">
            <w:pPr>
              <w:pStyle w:val="TableRowCentered"/>
              <w:ind w:left="0"/>
              <w:jc w:val="left"/>
              <w:rPr>
                <w:sz w:val="22"/>
              </w:rPr>
            </w:pPr>
            <w:r w:rsidRPr="00A31A3A">
              <w:rPr>
                <w:rFonts w:cs="Arial"/>
                <w:color w:val="2E2E2E"/>
                <w:sz w:val="22"/>
                <w:szCs w:val="22"/>
              </w:rPr>
              <w:t xml:space="preserve"> </w:t>
            </w:r>
          </w:p>
        </w:tc>
        <w:tc>
          <w:tcPr>
            <w:tcW w:w="23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CF0060" w14:textId="4A383496" w:rsidR="00DE4FB6" w:rsidRDefault="00DE4FB6" w:rsidP="00DE4FB6">
            <w:pPr>
              <w:pStyle w:val="TableRowCentered"/>
              <w:jc w:val="left"/>
              <w:rPr>
                <w:sz w:val="22"/>
              </w:rPr>
            </w:pPr>
            <w:r>
              <w:rPr>
                <w:sz w:val="22"/>
              </w:rPr>
              <w:t>4</w:t>
            </w:r>
          </w:p>
        </w:tc>
      </w:tr>
      <w:tr w:rsidR="00DE4FB6" w14:paraId="7586631F" w14:textId="77777777" w:rsidTr="00DE4FB6">
        <w:trPr>
          <w:trHeight w:val="1050"/>
        </w:trPr>
        <w:tc>
          <w:tcPr>
            <w:tcW w:w="24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661986D" w14:textId="6AF1B8CC" w:rsidR="00DE4FB6" w:rsidRDefault="00DE4FB6" w:rsidP="00DE4FB6">
            <w:pPr>
              <w:pStyle w:val="TableRow"/>
              <w:rPr>
                <w:iCs/>
                <w:sz w:val="22"/>
              </w:rPr>
            </w:pPr>
            <w:r>
              <w:rPr>
                <w:iCs/>
                <w:sz w:val="22"/>
              </w:rPr>
              <w:t>Purchase 1 day a week of Speech and Language support</w:t>
            </w:r>
          </w:p>
          <w:p w14:paraId="564B6B82" w14:textId="26684EBE" w:rsidR="00DE4FB6" w:rsidRDefault="00DE4FB6" w:rsidP="00DE4FB6">
            <w:pPr>
              <w:pStyle w:val="TableRow"/>
              <w:rPr>
                <w:iCs/>
                <w:sz w:val="22"/>
              </w:rPr>
            </w:pPr>
          </w:p>
          <w:p w14:paraId="0AA193D0" w14:textId="3583CFBA" w:rsidR="00DE4FB6" w:rsidRDefault="00DE4FB6" w:rsidP="00DE4FB6">
            <w:pPr>
              <w:pStyle w:val="TableRow"/>
              <w:rPr>
                <w:iCs/>
                <w:sz w:val="22"/>
              </w:rPr>
            </w:pPr>
            <w:r>
              <w:rPr>
                <w:iCs/>
                <w:sz w:val="22"/>
              </w:rPr>
              <w:t>£600 per day x 39 = £2940</w:t>
            </w:r>
          </w:p>
          <w:p w14:paraId="11351901" w14:textId="3D0D089D" w:rsidR="00DE4FB6" w:rsidRDefault="00DE4FB6" w:rsidP="00DE4FB6">
            <w:pPr>
              <w:pStyle w:val="TableRow"/>
              <w:rPr>
                <w:iCs/>
                <w:sz w:val="22"/>
              </w:rPr>
            </w:pPr>
          </w:p>
          <w:p w14:paraId="3810534A" w14:textId="33B5393C" w:rsidR="00DE4FB6" w:rsidRDefault="00DE4FB6" w:rsidP="00DE4FB6">
            <w:pPr>
              <w:pStyle w:val="TableRow"/>
              <w:rPr>
                <w:iCs/>
                <w:sz w:val="22"/>
              </w:rPr>
            </w:pPr>
            <w:r>
              <w:rPr>
                <w:iCs/>
                <w:sz w:val="22"/>
              </w:rPr>
              <w:t xml:space="preserve">TA for interventions </w:t>
            </w:r>
          </w:p>
          <w:p w14:paraId="5EBA44FB" w14:textId="77777777" w:rsidR="00DE4FB6" w:rsidRDefault="00DE4FB6" w:rsidP="00DE4FB6">
            <w:pPr>
              <w:pStyle w:val="TableRow"/>
              <w:rPr>
                <w:iCs/>
                <w:sz w:val="22"/>
              </w:rPr>
            </w:pPr>
          </w:p>
        </w:tc>
        <w:tc>
          <w:tcPr>
            <w:tcW w:w="46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39FD28" w14:textId="77777777" w:rsidR="00DE4FB6" w:rsidRPr="00C90BA7" w:rsidRDefault="00DE4FB6" w:rsidP="00DE4FB6">
            <w:pPr>
              <w:pStyle w:val="TableRowCentered"/>
              <w:ind w:left="36"/>
              <w:jc w:val="left"/>
              <w:rPr>
                <w:rFonts w:cs="Arial"/>
                <w:color w:val="auto"/>
                <w:sz w:val="22"/>
                <w:szCs w:val="22"/>
                <w:shd w:val="clear" w:color="auto" w:fill="FFFFFF"/>
              </w:rPr>
            </w:pPr>
            <w:r w:rsidRPr="00C90BA7">
              <w:rPr>
                <w:rFonts w:cs="Arial"/>
                <w:color w:val="auto"/>
                <w:sz w:val="22"/>
                <w:szCs w:val="22"/>
                <w:shd w:val="clear" w:color="auto" w:fill="FFFFFF"/>
              </w:rPr>
              <w:t>The Communication Trust worked with the Better Communication Research Programme to develop the What Works database of evidenced interventions to support children’s speech, language and communication.</w:t>
            </w:r>
          </w:p>
          <w:p w14:paraId="49B1B78E" w14:textId="003CEBC3" w:rsidR="00DE4FB6" w:rsidRPr="00C90BA7" w:rsidRDefault="0083697B" w:rsidP="0083697B">
            <w:pPr>
              <w:pStyle w:val="TableRowCentered"/>
              <w:spacing w:after="120"/>
              <w:ind w:left="0"/>
              <w:jc w:val="left"/>
              <w:rPr>
                <w:color w:val="0070C0"/>
                <w:sz w:val="22"/>
                <w:szCs w:val="22"/>
                <w:u w:val="single"/>
              </w:rPr>
            </w:pPr>
            <w:r>
              <w:rPr>
                <w:sz w:val="22"/>
                <w:szCs w:val="22"/>
                <w:u w:val="single"/>
              </w:rPr>
              <w:t>Speech Language and Communication framework</w:t>
            </w:r>
          </w:p>
          <w:p w14:paraId="2AF5385D" w14:textId="41DB9C20" w:rsidR="00DE4FB6" w:rsidRDefault="00DE4FB6" w:rsidP="00DE4FB6">
            <w:pPr>
              <w:pStyle w:val="TableRowCentered"/>
              <w:jc w:val="left"/>
              <w:rPr>
                <w:sz w:val="22"/>
              </w:rPr>
            </w:pPr>
            <w:r w:rsidRPr="00C90BA7">
              <w:rPr>
                <w:color w:val="auto"/>
                <w:sz w:val="22"/>
                <w:szCs w:val="22"/>
              </w:rPr>
              <w:t>This has been endorsed by the Royal College of Speech and Language Therapists.</w:t>
            </w:r>
          </w:p>
        </w:tc>
        <w:tc>
          <w:tcPr>
            <w:tcW w:w="23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7FFFD6" w14:textId="69464691" w:rsidR="00DE4FB6" w:rsidRDefault="00DE4FB6" w:rsidP="00DE4FB6">
            <w:pPr>
              <w:pStyle w:val="TableRowCentered"/>
              <w:jc w:val="left"/>
              <w:rPr>
                <w:sz w:val="22"/>
              </w:rPr>
            </w:pPr>
            <w:r>
              <w:rPr>
                <w:sz w:val="22"/>
              </w:rPr>
              <w:t>4</w:t>
            </w:r>
          </w:p>
        </w:tc>
      </w:tr>
      <w:tr w:rsidR="00DE4FB6" w14:paraId="6431B249" w14:textId="77777777" w:rsidTr="00DE4FB6">
        <w:trPr>
          <w:trHeight w:val="1500"/>
        </w:trPr>
        <w:tc>
          <w:tcPr>
            <w:tcW w:w="24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8A78E8" w14:textId="5C612715" w:rsidR="00DE4FB6" w:rsidRPr="009764C4" w:rsidRDefault="00DE4FB6" w:rsidP="00DE4FB6">
            <w:pPr>
              <w:pStyle w:val="TableRow"/>
              <w:rPr>
                <w:iCs/>
                <w:sz w:val="22"/>
              </w:rPr>
            </w:pPr>
            <w:r w:rsidRPr="009764C4">
              <w:rPr>
                <w:iCs/>
                <w:sz w:val="22"/>
              </w:rPr>
              <w:t xml:space="preserve">To extend access to inclusive technology to support access to learning / individual interventions. </w:t>
            </w:r>
          </w:p>
          <w:p w14:paraId="162538DB" w14:textId="2D02F670" w:rsidR="00DE4FB6" w:rsidRPr="009764C4" w:rsidRDefault="00DE4FB6" w:rsidP="00DE4FB6">
            <w:pPr>
              <w:pStyle w:val="TableRow"/>
              <w:rPr>
                <w:iCs/>
                <w:sz w:val="22"/>
              </w:rPr>
            </w:pPr>
          </w:p>
          <w:p w14:paraId="65B4E819" w14:textId="2530E6DC" w:rsidR="00DE4FB6" w:rsidRPr="009764C4" w:rsidRDefault="00DE4FB6" w:rsidP="00DE4FB6">
            <w:pPr>
              <w:pStyle w:val="TableRow"/>
              <w:rPr>
                <w:iCs/>
                <w:sz w:val="22"/>
              </w:rPr>
            </w:pPr>
            <w:r w:rsidRPr="009764C4">
              <w:rPr>
                <w:iCs/>
                <w:sz w:val="22"/>
              </w:rPr>
              <w:t>£4,000</w:t>
            </w:r>
          </w:p>
          <w:p w14:paraId="0F153E3C" w14:textId="7E3F0BE6" w:rsidR="00DE4FB6" w:rsidRPr="009764C4" w:rsidRDefault="00DE4FB6" w:rsidP="00DE4FB6">
            <w:pPr>
              <w:pStyle w:val="TableRow"/>
              <w:rPr>
                <w:iCs/>
                <w:sz w:val="22"/>
              </w:rPr>
            </w:pPr>
          </w:p>
        </w:tc>
        <w:tc>
          <w:tcPr>
            <w:tcW w:w="462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EF88AE" w14:textId="6EF2E421" w:rsidR="00DE4FB6" w:rsidRDefault="00DE4FB6" w:rsidP="00DE4FB6">
            <w:pPr>
              <w:pStyle w:val="TableRowCentered"/>
              <w:jc w:val="left"/>
              <w:rPr>
                <w:color w:val="auto"/>
                <w:sz w:val="22"/>
                <w:szCs w:val="22"/>
              </w:rPr>
            </w:pPr>
            <w:r w:rsidRPr="008539D6">
              <w:rPr>
                <w:color w:val="auto"/>
                <w:sz w:val="22"/>
                <w:szCs w:val="22"/>
              </w:rPr>
              <w:t>For pupils with SEND, technology can be a useful tool to support teaching. This training will also support pupils’ literacy skills, and help to deliver the curriculum:</w:t>
            </w:r>
          </w:p>
          <w:p w14:paraId="7726B7A7" w14:textId="0292FDD1" w:rsidR="00501208" w:rsidRPr="008539D6" w:rsidRDefault="00501208" w:rsidP="00DE4FB6">
            <w:pPr>
              <w:pStyle w:val="TableRowCentered"/>
              <w:jc w:val="left"/>
              <w:rPr>
                <w:color w:val="auto"/>
                <w:sz w:val="22"/>
                <w:szCs w:val="22"/>
              </w:rPr>
            </w:pPr>
            <w:r>
              <w:rPr>
                <w:color w:val="auto"/>
                <w:sz w:val="22"/>
                <w:szCs w:val="22"/>
              </w:rPr>
              <w:t>The education e</w:t>
            </w:r>
            <w:r w:rsidR="00FC30D7">
              <w:rPr>
                <w:color w:val="auto"/>
                <w:sz w:val="22"/>
                <w:szCs w:val="22"/>
              </w:rPr>
              <w:t xml:space="preserve">ndowment foundation – using technology to improve learning. </w:t>
            </w:r>
          </w:p>
          <w:p w14:paraId="3D0137A6" w14:textId="5C1FF3A5" w:rsidR="00DE4FB6" w:rsidRDefault="00DE4FB6" w:rsidP="00DE4FB6">
            <w:pPr>
              <w:pStyle w:val="TableRowCentered"/>
              <w:jc w:val="left"/>
              <w:rPr>
                <w:sz w:val="22"/>
              </w:rPr>
            </w:pPr>
          </w:p>
        </w:tc>
        <w:tc>
          <w:tcPr>
            <w:tcW w:w="23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2C0A974" w14:textId="53B87449" w:rsidR="00DE4FB6" w:rsidRDefault="00DE4FB6" w:rsidP="00DE4FB6">
            <w:pPr>
              <w:pStyle w:val="TableRowCentered"/>
              <w:jc w:val="left"/>
              <w:rPr>
                <w:sz w:val="22"/>
              </w:rPr>
            </w:pPr>
            <w:r>
              <w:rPr>
                <w:sz w:val="22"/>
              </w:rPr>
              <w:t>1</w:t>
            </w:r>
          </w:p>
        </w:tc>
      </w:tr>
      <w:tr w:rsidR="00DE4FB6" w14:paraId="5E1AA61F" w14:textId="77777777" w:rsidTr="00DE4FB6">
        <w:trPr>
          <w:trHeight w:val="496"/>
        </w:trPr>
        <w:tc>
          <w:tcPr>
            <w:tcW w:w="249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E1BB14" w14:textId="77777777" w:rsidR="00DE4FB6" w:rsidRDefault="00DE4FB6" w:rsidP="00DE4FB6">
            <w:pPr>
              <w:pStyle w:val="TableRow"/>
              <w:rPr>
                <w:iCs/>
                <w:sz w:val="22"/>
              </w:rPr>
            </w:pPr>
            <w:r>
              <w:rPr>
                <w:iCs/>
                <w:sz w:val="22"/>
              </w:rPr>
              <w:t>Extend curriculum resources to support;</w:t>
            </w:r>
          </w:p>
          <w:p w14:paraId="1C876EAA" w14:textId="77777777" w:rsidR="00DE4FB6" w:rsidRDefault="00DE4FB6" w:rsidP="00DE4FB6">
            <w:pPr>
              <w:pStyle w:val="TableRow"/>
              <w:rPr>
                <w:iCs/>
                <w:sz w:val="22"/>
              </w:rPr>
            </w:pPr>
          </w:p>
          <w:p w14:paraId="477426D8" w14:textId="4823A903" w:rsidR="00DE4FB6" w:rsidRDefault="00DE4FB6" w:rsidP="00DE4FB6">
            <w:pPr>
              <w:pStyle w:val="TableRow"/>
              <w:rPr>
                <w:iCs/>
                <w:sz w:val="22"/>
              </w:rPr>
            </w:pPr>
            <w:r>
              <w:rPr>
                <w:iCs/>
                <w:sz w:val="22"/>
              </w:rPr>
              <w:t>Reading - £1000</w:t>
            </w:r>
          </w:p>
          <w:p w14:paraId="268F2B93" w14:textId="440BEF9E" w:rsidR="00DE4FB6" w:rsidRDefault="00DE4FB6" w:rsidP="00DE4FB6">
            <w:pPr>
              <w:pStyle w:val="TableRow"/>
              <w:rPr>
                <w:iCs/>
                <w:sz w:val="22"/>
              </w:rPr>
            </w:pPr>
            <w:r>
              <w:rPr>
                <w:iCs/>
                <w:sz w:val="22"/>
              </w:rPr>
              <w:t>Maths  £1000</w:t>
            </w:r>
          </w:p>
          <w:p w14:paraId="30E84C5D" w14:textId="77777777" w:rsidR="00DE4FB6" w:rsidRDefault="00DE4FB6" w:rsidP="00DE4FB6">
            <w:pPr>
              <w:pStyle w:val="TableRow"/>
              <w:rPr>
                <w:iCs/>
                <w:sz w:val="22"/>
              </w:rPr>
            </w:pPr>
          </w:p>
          <w:p w14:paraId="1B43451C" w14:textId="7D96CC4F" w:rsidR="00DE4FB6" w:rsidRDefault="00DE4FB6" w:rsidP="00DE4FB6">
            <w:pPr>
              <w:pStyle w:val="TableRow"/>
              <w:rPr>
                <w:iCs/>
                <w:sz w:val="22"/>
              </w:rPr>
            </w:pPr>
            <w:r>
              <w:rPr>
                <w:iCs/>
                <w:sz w:val="22"/>
              </w:rPr>
              <w:t>PSHE - £1000</w:t>
            </w:r>
          </w:p>
        </w:tc>
        <w:tc>
          <w:tcPr>
            <w:tcW w:w="462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F0C00" w14:textId="77777777" w:rsidR="00DE4FB6" w:rsidRDefault="00DE4FB6" w:rsidP="00DE4FB6">
            <w:pPr>
              <w:pStyle w:val="TableRowCentered"/>
              <w:jc w:val="left"/>
              <w:rPr>
                <w:sz w:val="22"/>
              </w:rPr>
            </w:pPr>
          </w:p>
        </w:tc>
        <w:tc>
          <w:tcPr>
            <w:tcW w:w="236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C4B1F" w14:textId="6651E690" w:rsidR="00DE4FB6" w:rsidRDefault="00DE4FB6" w:rsidP="00DE4FB6">
            <w:pPr>
              <w:pStyle w:val="TableRowCentered"/>
              <w:jc w:val="left"/>
              <w:rPr>
                <w:sz w:val="22"/>
              </w:rPr>
            </w:pPr>
            <w:r>
              <w:rPr>
                <w:sz w:val="22"/>
              </w:rPr>
              <w:t>1</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CA731C6" w:rsidR="00E66558" w:rsidRDefault="009D71E8">
      <w:pPr>
        <w:spacing w:before="240" w:after="120"/>
      </w:pPr>
      <w:r>
        <w:t xml:space="preserve">Budgeted cost:  </w:t>
      </w:r>
      <w:r w:rsidR="00421A9F">
        <w:rPr>
          <w:i/>
          <w:iCs/>
        </w:rPr>
        <w:t>£</w:t>
      </w:r>
      <w:r w:rsidR="00283921">
        <w:rPr>
          <w:i/>
          <w:iCs/>
        </w:rPr>
        <w:t>4</w:t>
      </w:r>
      <w:r w:rsidR="00421A9F">
        <w:rPr>
          <w:i/>
          <w:iCs/>
        </w:rPr>
        <w:t>860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40B95">
        <w:trPr>
          <w:trHeight w:val="3015"/>
        </w:trPr>
        <w:tc>
          <w:tcPr>
            <w:tcW w:w="268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6BC063E" w14:textId="77777777" w:rsidR="00E66558" w:rsidRDefault="00A64F35">
            <w:pPr>
              <w:pStyle w:val="TableRow"/>
            </w:pPr>
            <w:r>
              <w:t xml:space="preserve">Implement and staff </w:t>
            </w:r>
            <w:r w:rsidR="00583D7D">
              <w:t xml:space="preserve">parent workshops every second week – including external contributors linked to parent identified need. </w:t>
            </w:r>
            <w:r w:rsidR="00B0561C">
              <w:t xml:space="preserve">  </w:t>
            </w:r>
          </w:p>
          <w:p w14:paraId="23BF9A9C" w14:textId="77777777" w:rsidR="003A2300" w:rsidRDefault="003A2300">
            <w:pPr>
              <w:pStyle w:val="TableRow"/>
            </w:pPr>
            <w:r>
              <w:t>18 work shops -  budget of £1</w:t>
            </w:r>
            <w:r w:rsidR="00A74B8E">
              <w:t>000</w:t>
            </w:r>
            <w:r>
              <w:t xml:space="preserve"> for external speakers </w:t>
            </w:r>
          </w:p>
          <w:p w14:paraId="2A7D5538" w14:textId="089B082D" w:rsidR="00E40B95" w:rsidRDefault="00E40B95">
            <w:pPr>
              <w:pStyle w:val="TableRow"/>
            </w:pPr>
          </w:p>
        </w:tc>
        <w:tc>
          <w:tcPr>
            <w:tcW w:w="42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B6E590E" w14:textId="071B0BAC" w:rsidR="001675AB" w:rsidRPr="001675AB" w:rsidRDefault="001675AB" w:rsidP="001675AB">
            <w:pPr>
              <w:pStyle w:val="TableRowCentered"/>
              <w:jc w:val="left"/>
            </w:pPr>
            <w:r w:rsidRPr="00881F16">
              <w:rPr>
                <w:sz w:val="22"/>
                <w:szCs w:val="22"/>
              </w:rPr>
              <w:t>Struct</w:t>
            </w:r>
            <w:r>
              <w:rPr>
                <w:sz w:val="22"/>
                <w:szCs w:val="22"/>
              </w:rPr>
              <w:t>ured Conversations with Parents</w:t>
            </w:r>
            <w:r w:rsidRPr="00881F16">
              <w:rPr>
                <w:sz w:val="22"/>
                <w:szCs w:val="22"/>
              </w:rPr>
              <w:t xml:space="preserve">, schools and parents alike consider this to be the outstanding success story of </w:t>
            </w:r>
            <w:r w:rsidRPr="00C72997">
              <w:rPr>
                <w:sz w:val="22"/>
                <w:szCs w:val="22"/>
              </w:rPr>
              <w:t>the AfA</w:t>
            </w:r>
            <w:r w:rsidRPr="00881F16">
              <w:rPr>
                <w:sz w:val="22"/>
                <w:szCs w:val="22"/>
              </w:rPr>
              <w:t xml:space="preserve"> so far: </w:t>
            </w:r>
          </w:p>
          <w:p w14:paraId="135B4801" w14:textId="77777777" w:rsidR="001675AB" w:rsidRDefault="001675AB" w:rsidP="001675AB">
            <w:pPr>
              <w:pStyle w:val="TableRowCentered"/>
              <w:numPr>
                <w:ilvl w:val="0"/>
                <w:numId w:val="20"/>
              </w:numPr>
              <w:jc w:val="left"/>
              <w:rPr>
                <w:sz w:val="22"/>
                <w:szCs w:val="22"/>
              </w:rPr>
            </w:pPr>
            <w:r w:rsidRPr="00881F16">
              <w:rPr>
                <w:sz w:val="22"/>
                <w:szCs w:val="22"/>
              </w:rPr>
              <w:t xml:space="preserve">The conversations are providing a more holistic view of pupils, have led to a culture shift in parental engagement, and have been effective in building a genuine partnership between home and school for pupils with SEND. </w:t>
            </w:r>
          </w:p>
          <w:p w14:paraId="2FE600A4" w14:textId="77777777" w:rsidR="001675AB" w:rsidRDefault="001675AB" w:rsidP="001675AB">
            <w:pPr>
              <w:pStyle w:val="TableRowCentered"/>
              <w:numPr>
                <w:ilvl w:val="0"/>
                <w:numId w:val="20"/>
              </w:numPr>
              <w:jc w:val="left"/>
              <w:rPr>
                <w:sz w:val="22"/>
                <w:szCs w:val="22"/>
              </w:rPr>
            </w:pPr>
            <w:r w:rsidRPr="00881F16">
              <w:rPr>
                <w:sz w:val="22"/>
                <w:szCs w:val="22"/>
              </w:rPr>
              <w:t>Parents feel more included in the process of their children’s education, more empowered, and have sensed a change in the dynamic of their interactions with school staff.</w:t>
            </w:r>
          </w:p>
          <w:p w14:paraId="25B368D9" w14:textId="77777777" w:rsidR="001675AB" w:rsidRDefault="001675AB" w:rsidP="001675AB">
            <w:pPr>
              <w:pStyle w:val="TableRowCentered"/>
              <w:numPr>
                <w:ilvl w:val="0"/>
                <w:numId w:val="20"/>
              </w:numPr>
              <w:jc w:val="left"/>
              <w:rPr>
                <w:sz w:val="22"/>
                <w:szCs w:val="22"/>
              </w:rPr>
            </w:pPr>
            <w:r w:rsidRPr="00881F16">
              <w:rPr>
                <w:sz w:val="22"/>
                <w:szCs w:val="22"/>
              </w:rPr>
              <w:t xml:space="preserve">Although there have been a small but significant minority of ‘hard to reach’ parents, schools have expressed determination to engage them by extending or adapting arrangements – e.g. home visits, evening or weekend meetings, putting on transportation, using other parents as advocates. </w:t>
            </w:r>
          </w:p>
          <w:p w14:paraId="2A7D5539" w14:textId="438137CD" w:rsidR="00E66558" w:rsidRDefault="00E66558" w:rsidP="001675AB">
            <w:pPr>
              <w:pStyle w:val="TableRowCentered"/>
              <w:ind w:left="0"/>
              <w:jc w:val="left"/>
              <w:rPr>
                <w:sz w:val="22"/>
              </w:rPr>
            </w:pPr>
          </w:p>
        </w:tc>
        <w:tc>
          <w:tcPr>
            <w:tcW w:w="25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A" w14:textId="7F2B9A7A" w:rsidR="00E66558" w:rsidRDefault="009764C4">
            <w:pPr>
              <w:pStyle w:val="TableRowCentered"/>
              <w:jc w:val="left"/>
              <w:rPr>
                <w:sz w:val="22"/>
              </w:rPr>
            </w:pPr>
            <w:r>
              <w:rPr>
                <w:sz w:val="22"/>
              </w:rPr>
              <w:t>1</w:t>
            </w:r>
          </w:p>
        </w:tc>
      </w:tr>
      <w:tr w:rsidR="00E40B95" w14:paraId="6C57DDE3" w14:textId="77777777" w:rsidTr="00E40B95">
        <w:trPr>
          <w:trHeight w:val="585"/>
        </w:trPr>
        <w:tc>
          <w:tcPr>
            <w:tcW w:w="268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D7F60" w14:textId="77777777" w:rsidR="00E40B95" w:rsidRDefault="005B54AF" w:rsidP="00E40B95">
            <w:pPr>
              <w:pStyle w:val="TableRow"/>
            </w:pPr>
            <w:r>
              <w:t xml:space="preserve">Access to community events/ opportunities/ travel training and independence skills </w:t>
            </w:r>
          </w:p>
          <w:p w14:paraId="2401A820" w14:textId="11315C0F" w:rsidR="005B54AF" w:rsidRDefault="005B54AF" w:rsidP="00E40B95">
            <w:pPr>
              <w:pStyle w:val="TableRow"/>
            </w:pPr>
            <w:r>
              <w:t>£3000</w:t>
            </w:r>
          </w:p>
        </w:tc>
        <w:tc>
          <w:tcPr>
            <w:tcW w:w="425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B9256" w14:textId="77777777" w:rsidR="00E40B95" w:rsidRDefault="00E40B95">
            <w:pPr>
              <w:pStyle w:val="TableRowCentered"/>
              <w:jc w:val="left"/>
              <w:rPr>
                <w:sz w:val="22"/>
              </w:rPr>
            </w:pPr>
          </w:p>
        </w:tc>
        <w:tc>
          <w:tcPr>
            <w:tcW w:w="25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9EEB7" w14:textId="1570155D" w:rsidR="00E40B95" w:rsidRDefault="005B54AF" w:rsidP="00E40B95">
            <w:pPr>
              <w:pStyle w:val="TableRowCentered"/>
              <w:jc w:val="left"/>
              <w:rPr>
                <w:sz w:val="22"/>
              </w:rPr>
            </w:pPr>
            <w:r>
              <w:rPr>
                <w:sz w:val="22"/>
              </w:rPr>
              <w:t>1</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6BFE00" w:rsidR="00E66558" w:rsidRPr="00A244DA" w:rsidRDefault="00BC3DA0" w:rsidP="002A7DE2">
            <w:pPr>
              <w:pStyle w:val="TableRow"/>
              <w:ind w:left="0"/>
              <w:rPr>
                <w:iCs/>
                <w:sz w:val="22"/>
              </w:rPr>
            </w:pPr>
            <w:r>
              <w:rPr>
                <w:iCs/>
                <w:sz w:val="22"/>
              </w:rPr>
              <w:t>£</w:t>
            </w:r>
            <w:r w:rsidR="00A74B8E">
              <w:rPr>
                <w:iCs/>
                <w:sz w:val="22"/>
              </w:rPr>
              <w:t>860 – individual pupil/ family targeted wellbeing /welfare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F071E8B" w:rsidR="00E66558" w:rsidRDefault="009764C4">
            <w:pPr>
              <w:pStyle w:val="TableRowCentered"/>
              <w:jc w:val="left"/>
              <w:rPr>
                <w:sz w:val="22"/>
              </w:rPr>
            </w:pPr>
            <w:r>
              <w:rPr>
                <w:sz w:val="22"/>
              </w:rPr>
              <w:t>1</w:t>
            </w:r>
          </w:p>
        </w:tc>
      </w:tr>
    </w:tbl>
    <w:p w14:paraId="2A7D5540" w14:textId="77777777" w:rsidR="00E66558" w:rsidRDefault="00E66558">
      <w:pPr>
        <w:spacing w:before="240" w:after="0"/>
        <w:rPr>
          <w:b/>
          <w:bCs/>
          <w:color w:val="104F75"/>
          <w:sz w:val="28"/>
          <w:szCs w:val="28"/>
        </w:rPr>
      </w:pPr>
    </w:p>
    <w:p w14:paraId="2A7D5541" w14:textId="6C8A7D04" w:rsidR="00E66558" w:rsidRDefault="009D71E8" w:rsidP="00120AB1">
      <w:r>
        <w:rPr>
          <w:b/>
          <w:bCs/>
          <w:color w:val="104F75"/>
          <w:sz w:val="28"/>
          <w:szCs w:val="28"/>
        </w:rPr>
        <w:t>Total budgeted cost: £</w:t>
      </w:r>
      <w:r w:rsidR="000404C7">
        <w:rPr>
          <w:b/>
          <w:bCs/>
          <w:color w:val="104F75"/>
          <w:sz w:val="28"/>
          <w:szCs w:val="28"/>
        </w:rPr>
        <w:t>89,647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4C9CF422" w:rsidR="00D23D2C" w:rsidRDefault="009D71E8" w:rsidP="00D23D2C">
            <w:pPr>
              <w:spacing w:before="120"/>
              <w:rPr>
                <w:i/>
                <w:lang w:eastAsia="en-US"/>
              </w:rPr>
            </w:pPr>
            <w:r>
              <w:rPr>
                <w:i/>
              </w:rPr>
              <w:t xml:space="preserve">Due to COVID-19, performance measures have not been published for 2020 to 2021, and 2020 to 2021 results will not be used to hold schools to account. </w:t>
            </w:r>
          </w:p>
          <w:p w14:paraId="3C4E9930" w14:textId="6B291333" w:rsidR="00D23D2C" w:rsidRDefault="00805E3E" w:rsidP="005A3265">
            <w:pPr>
              <w:pStyle w:val="ListParagraph"/>
              <w:numPr>
                <w:ilvl w:val="0"/>
                <w:numId w:val="17"/>
              </w:numPr>
              <w:spacing w:before="120"/>
            </w:pPr>
            <w:r>
              <w:t xml:space="preserve">TIS </w:t>
            </w:r>
            <w:r w:rsidR="009A644E">
              <w:t>pr</w:t>
            </w:r>
            <w:r w:rsidR="004A554C">
              <w:t>ofiles and interventions in place for Pupil Premium pupils. – TIS informed practice – implementation of tutor based learning</w:t>
            </w:r>
          </w:p>
          <w:p w14:paraId="1CDED16F" w14:textId="1401917B" w:rsidR="004A554C" w:rsidRDefault="009602CA" w:rsidP="005A3265">
            <w:pPr>
              <w:pStyle w:val="ListParagraph"/>
              <w:numPr>
                <w:ilvl w:val="0"/>
                <w:numId w:val="17"/>
              </w:numPr>
              <w:spacing w:before="120"/>
            </w:pPr>
            <w:r>
              <w:t>Tutor engagement with pupil premium parents</w:t>
            </w:r>
          </w:p>
          <w:p w14:paraId="1B36CD37" w14:textId="6BE4C05D" w:rsidR="009602CA" w:rsidRDefault="009602CA" w:rsidP="005A3265">
            <w:pPr>
              <w:pStyle w:val="ListParagraph"/>
              <w:numPr>
                <w:ilvl w:val="0"/>
                <w:numId w:val="17"/>
              </w:numPr>
              <w:spacing w:before="120"/>
            </w:pPr>
            <w:r>
              <w:t>Enrichment activities</w:t>
            </w:r>
            <w:r w:rsidR="0003382D">
              <w:t>/ Interventions and support to meet EHCP outcomes.</w:t>
            </w:r>
          </w:p>
          <w:p w14:paraId="41B4A952" w14:textId="721419AD" w:rsidR="0003382D" w:rsidRDefault="0003382D" w:rsidP="005A3265">
            <w:pPr>
              <w:pStyle w:val="ListParagraph"/>
              <w:numPr>
                <w:ilvl w:val="0"/>
                <w:numId w:val="17"/>
              </w:numPr>
              <w:spacing w:before="120"/>
            </w:pPr>
            <w:r>
              <w:t xml:space="preserve">Covid recovery </w:t>
            </w:r>
          </w:p>
          <w:p w14:paraId="390A7C2B" w14:textId="7E88699C" w:rsidR="000A2B07" w:rsidRPr="00326F34" w:rsidRDefault="000A2B07" w:rsidP="000A2B07">
            <w:pPr>
              <w:spacing w:after="25"/>
              <w:rPr>
                <w:b/>
                <w:bCs/>
              </w:rPr>
            </w:pPr>
            <w:r w:rsidRPr="00326F34">
              <w:rPr>
                <w:b/>
                <w:bCs/>
              </w:rPr>
              <w:t xml:space="preserve"> All pupil premium pupils will have a clear TIS profile – and associated provision – shared with parents</w:t>
            </w:r>
          </w:p>
          <w:p w14:paraId="447E2C18" w14:textId="2A324EA1" w:rsidR="003F07D8" w:rsidRPr="005D0C92" w:rsidRDefault="003F07D8" w:rsidP="003F07D8">
            <w:r w:rsidRPr="005D0C92">
              <w:t>TIS profiling</w:t>
            </w:r>
            <w:r w:rsidR="00326F34" w:rsidRPr="005D0C92">
              <w:t xml:space="preserve"> was </w:t>
            </w:r>
            <w:r w:rsidRPr="005D0C92">
              <w:t xml:space="preserve"> delegated to </w:t>
            </w:r>
            <w:r w:rsidR="00326F34" w:rsidRPr="005D0C92">
              <w:t xml:space="preserve">a wider </w:t>
            </w:r>
            <w:r w:rsidRPr="005D0C92">
              <w:t xml:space="preserve"> staff </w:t>
            </w:r>
            <w:r w:rsidR="00326F34" w:rsidRPr="005D0C92">
              <w:t xml:space="preserve">team </w:t>
            </w:r>
            <w:r w:rsidRPr="005D0C92">
              <w:t xml:space="preserve">– supported by SPT TIS lead.    New tutor </w:t>
            </w:r>
            <w:r w:rsidR="005D0C92" w:rsidRPr="005D0C92">
              <w:t xml:space="preserve"> groups were set up and cohort identification supported</w:t>
            </w:r>
            <w:r w:rsidRPr="005D0C92">
              <w:t xml:space="preserve"> by TIS group screening.</w:t>
            </w:r>
          </w:p>
          <w:p w14:paraId="39AE76B0" w14:textId="77221CB2" w:rsidR="003F07D8" w:rsidRDefault="003F07D8" w:rsidP="003F07D8">
            <w:pPr>
              <w:spacing w:before="120"/>
            </w:pPr>
            <w:r w:rsidRPr="005D0C92">
              <w:t>Individual profile</w:t>
            </w:r>
            <w:r w:rsidR="005D0C92" w:rsidRPr="005D0C92">
              <w:t xml:space="preserve">s </w:t>
            </w:r>
            <w:r w:rsidRPr="005D0C92">
              <w:t xml:space="preserve">in place for pupils where a </w:t>
            </w:r>
            <w:r w:rsidR="005D0C92" w:rsidRPr="005D0C92">
              <w:t>specific</w:t>
            </w:r>
            <w:r w:rsidRPr="005D0C92">
              <w:t xml:space="preserve"> needs for more detail was </w:t>
            </w:r>
            <w:r w:rsidR="005D0C92" w:rsidRPr="005D0C92">
              <w:t>identified</w:t>
            </w:r>
            <w:r w:rsidRPr="005D0C92">
              <w:t xml:space="preserve">.  Individual screens shared with parents – all </w:t>
            </w:r>
            <w:r w:rsidR="005D0C92" w:rsidRPr="005D0C92">
              <w:t>parents</w:t>
            </w:r>
            <w:r w:rsidRPr="005D0C92">
              <w:t xml:space="preserve"> seek </w:t>
            </w:r>
            <w:r w:rsidR="005D0C92" w:rsidRPr="005D0C92">
              <w:t>consent</w:t>
            </w:r>
            <w:r w:rsidRPr="005D0C92">
              <w:t xml:space="preserve"> for screening – and EHCP </w:t>
            </w:r>
            <w:r w:rsidR="005D0C92" w:rsidRPr="005D0C92">
              <w:t>meetings</w:t>
            </w:r>
            <w:r w:rsidRPr="005D0C92">
              <w:t xml:space="preserve"> informed by TIS awareness for staff.   TIS </w:t>
            </w:r>
            <w:r w:rsidR="005D0C92" w:rsidRPr="005D0C92">
              <w:t>profiles</w:t>
            </w:r>
            <w:r w:rsidRPr="005D0C92">
              <w:t xml:space="preserve"> were added to EHCP reporting.</w:t>
            </w:r>
          </w:p>
          <w:p w14:paraId="0FBCDD75" w14:textId="594CD17B" w:rsidR="00313E09" w:rsidRDefault="002871C8" w:rsidP="00326545">
            <w:pPr>
              <w:spacing w:after="26"/>
            </w:pPr>
            <w:r>
              <w:t>Tutor  engagement with all</w:t>
            </w:r>
            <w:r w:rsidR="00903255">
              <w:t xml:space="preserve"> parents increased over 20 – 21 – academic year this included </w:t>
            </w:r>
            <w:r>
              <w:t xml:space="preserve"> pupil premium parents</w:t>
            </w:r>
            <w:r w:rsidR="00903255">
              <w:t xml:space="preserve"> – further work needs t be done with teachers to support them in </w:t>
            </w:r>
            <w:r>
              <w:t xml:space="preserve"> specifically discussing aspiration and preparation for adult hood – proactively shaping preparation for adulthood and maximum independence. </w:t>
            </w:r>
          </w:p>
          <w:p w14:paraId="730D3991" w14:textId="77777777" w:rsidR="00326545" w:rsidRDefault="00326545" w:rsidP="00326545">
            <w:pPr>
              <w:spacing w:after="26"/>
            </w:pPr>
          </w:p>
          <w:p w14:paraId="2B4619A3" w14:textId="5392A463" w:rsidR="008E16BC" w:rsidRDefault="00326545" w:rsidP="00313E09">
            <w:r w:rsidRPr="00621209">
              <w:rPr>
                <w:b/>
                <w:bCs/>
              </w:rPr>
              <w:t>A</w:t>
            </w:r>
            <w:r w:rsidR="008E16BC" w:rsidRPr="00621209">
              <w:rPr>
                <w:b/>
                <w:bCs/>
              </w:rPr>
              <w:t>ll pupil premium pupils have full access to a range of enrichment activities/ interventions to support accelerated progress/ sustained progress towards EHCP outcomes and preparation for adulthood</w:t>
            </w:r>
            <w:r w:rsidR="008E16BC">
              <w:t>.</w:t>
            </w:r>
            <w:r w:rsidR="008A1EC6">
              <w:t xml:space="preserve">  </w:t>
            </w:r>
          </w:p>
          <w:p w14:paraId="5F8FD542" w14:textId="0F824640" w:rsidR="00313E09" w:rsidRDefault="00313E09" w:rsidP="00313E09">
            <w:r>
              <w:t xml:space="preserve">Introduction of EFLs/IEPS – better dissemination of IEP targets.   PP pupils accessed – Taiko drumming/ OT support/ reading interventions/ Blanks level screening/ music for good / speech and language/ physio forest school / lego therapy.  Limited offsite provision </w:t>
            </w:r>
            <w:r w:rsidR="00785A30">
              <w:t xml:space="preserve">during COVID </w:t>
            </w:r>
            <w:r>
              <w:t>( although summer activities</w:t>
            </w:r>
            <w:r w:rsidR="00785A30">
              <w:t>/</w:t>
            </w:r>
            <w:r>
              <w:t xml:space="preserve"> individual sports days were reintroduced.)  – on site residential </w:t>
            </w:r>
            <w:r w:rsidR="00621209">
              <w:t>extended</w:t>
            </w:r>
            <w:r>
              <w:t xml:space="preserve"> to pp pupils in consultation </w:t>
            </w:r>
            <w:r w:rsidR="00785A30">
              <w:t>with</w:t>
            </w:r>
            <w:r>
              <w:t xml:space="preserve"> parents and </w:t>
            </w:r>
            <w:r w:rsidR="00621209">
              <w:t>pupils</w:t>
            </w:r>
            <w:r>
              <w:t xml:space="preserve">. </w:t>
            </w:r>
          </w:p>
          <w:p w14:paraId="15D94AC6" w14:textId="77777777" w:rsidR="0017303C" w:rsidRDefault="0017303C" w:rsidP="0017303C">
            <w:r>
              <w:t xml:space="preserve">Tutor based learning – to ensure academic/ EHCP focus was increased / flexible time table / grouping to support nurture. </w:t>
            </w:r>
          </w:p>
          <w:p w14:paraId="4C164766" w14:textId="424CFA32" w:rsidR="0017303C" w:rsidRDefault="0017303C" w:rsidP="0017303C">
            <w:r>
              <w:t xml:space="preserve">IT available if necessary at home </w:t>
            </w:r>
            <w:r w:rsidR="00785A30">
              <w:t xml:space="preserve">- </w:t>
            </w:r>
            <w:r>
              <w:t xml:space="preserve"> increased</w:t>
            </w:r>
            <w:r w:rsidR="004947F2">
              <w:t xml:space="preserve"> availability of IT</w:t>
            </w:r>
            <w:r>
              <w:t xml:space="preserve"> in school to support interventions.</w:t>
            </w:r>
          </w:p>
          <w:p w14:paraId="2BF51D18" w14:textId="3812DFC5" w:rsidR="00313E09" w:rsidRDefault="0017303C" w:rsidP="0017303C">
            <w:r w:rsidRPr="006C39DE">
              <w:t>FSM/Meal vouchers support extended be</w:t>
            </w:r>
            <w:r>
              <w:t>yond</w:t>
            </w:r>
            <w:r w:rsidR="00772EDB">
              <w:t xml:space="preserve"> periods of lock down to all PP families</w:t>
            </w:r>
          </w:p>
          <w:p w14:paraId="2A7D5546" w14:textId="3ECABF0A"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lastRenderedPageBreak/>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rsidTr="008C7665">
        <w:trPr>
          <w:trHeight w:val="53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515FE22" w:rsidR="00E66558" w:rsidRDefault="001C04FD">
            <w:pPr>
              <w:pStyle w:val="TableRow"/>
            </w:pPr>
            <w:r>
              <w:t>Evidence for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1D9876A" w:rsidR="00E66558" w:rsidRDefault="00C72997">
            <w:pPr>
              <w:pStyle w:val="TableRowCentered"/>
              <w:jc w:val="left"/>
            </w:pPr>
            <w:r>
              <w:t>EFL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38546FE" w:rsidR="00E66558" w:rsidRDefault="00C72997" w:rsidP="00772EDB">
            <w:pPr>
              <w:pStyle w:val="TableRow"/>
              <w:ind w:left="0"/>
            </w:pPr>
            <w:r>
              <w:t xml:space="preserve">Three pupils with communication and interaction difficulties who required specific one to one or two to one support in community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D447C64" w:rsidR="00E66558" w:rsidRDefault="00986BB4">
            <w:pPr>
              <w:pStyle w:val="TableRowCentered"/>
              <w:jc w:val="left"/>
            </w:pPr>
            <w:r>
              <w:t xml:space="preserve">White Gold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rsidRPr="000404C7"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0404C7" w:rsidRDefault="009D71E8">
            <w:pPr>
              <w:pStyle w:val="TableRow"/>
            </w:pPr>
            <w:r w:rsidRPr="000404C7">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Pr="000404C7" w:rsidRDefault="00E66558">
            <w:pPr>
              <w:pStyle w:val="TableRowCentered"/>
              <w:jc w:val="left"/>
            </w:pPr>
          </w:p>
        </w:tc>
      </w:tr>
      <w:tr w:rsidR="00E66558" w:rsidRPr="000404C7"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0404C7" w:rsidRDefault="009D71E8">
            <w:pPr>
              <w:pStyle w:val="TableRow"/>
            </w:pPr>
            <w:r w:rsidRPr="000404C7">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Pr="000404C7" w:rsidRDefault="00E66558">
            <w:pPr>
              <w:pStyle w:val="TableRowCentered"/>
              <w:jc w:val="left"/>
            </w:pPr>
          </w:p>
        </w:tc>
      </w:tr>
      <w:bookmarkEnd w:id="18"/>
    </w:tbl>
    <w:p w14:paraId="2A7D555E" w14:textId="77777777" w:rsidR="00E66558" w:rsidRDefault="00E66558"/>
    <w:bookmarkEnd w:id="15"/>
    <w:bookmarkEnd w:id="16"/>
    <w:bookmarkEnd w:id="17"/>
    <w:sectPr w:rsidR="00E6655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A4B8" w14:textId="77777777" w:rsidR="00C90A25" w:rsidRDefault="00C90A25">
      <w:pPr>
        <w:spacing w:after="0" w:line="240" w:lineRule="auto"/>
      </w:pPr>
      <w:r>
        <w:separator/>
      </w:r>
    </w:p>
  </w:endnote>
  <w:endnote w:type="continuationSeparator" w:id="0">
    <w:p w14:paraId="09C44207" w14:textId="77777777" w:rsidR="00C90A25" w:rsidRDefault="00C9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03FEDAC5" w:rsidR="005E28A4" w:rsidRDefault="009D71E8">
    <w:pPr>
      <w:pStyle w:val="Footer"/>
      <w:ind w:firstLine="4513"/>
    </w:pPr>
    <w:r>
      <w:fldChar w:fldCharType="begin"/>
    </w:r>
    <w:r>
      <w:instrText xml:space="preserve"> PAGE </w:instrText>
    </w:r>
    <w:r>
      <w:fldChar w:fldCharType="separate"/>
    </w:r>
    <w:r w:rsidR="00BF09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6E5E3" w14:textId="77777777" w:rsidR="00C90A25" w:rsidRDefault="00C90A25">
      <w:pPr>
        <w:spacing w:after="0" w:line="240" w:lineRule="auto"/>
      </w:pPr>
      <w:r>
        <w:separator/>
      </w:r>
    </w:p>
  </w:footnote>
  <w:footnote w:type="continuationSeparator" w:id="0">
    <w:p w14:paraId="05D342C7" w14:textId="77777777" w:rsidR="00C90A25" w:rsidRDefault="00C9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90A"/>
    <w:multiLevelType w:val="multilevel"/>
    <w:tmpl w:val="CC54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295C32"/>
    <w:multiLevelType w:val="hybridMultilevel"/>
    <w:tmpl w:val="5C78D8E8"/>
    <w:lvl w:ilvl="0" w:tplc="58CA9CF8">
      <w:start w:val="1"/>
      <w:numFmt w:val="bullet"/>
      <w:lvlText w:val=""/>
      <w:lvlJc w:val="left"/>
      <w:pPr>
        <w:ind w:left="417" w:hanging="360"/>
      </w:pPr>
      <w:rPr>
        <w:rFonts w:ascii="Symbol" w:eastAsia="Times New Roman" w:hAnsi="Symbol"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1ED74C06"/>
    <w:multiLevelType w:val="hybridMultilevel"/>
    <w:tmpl w:val="923CA3F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E041A2E"/>
    <w:multiLevelType w:val="hybridMultilevel"/>
    <w:tmpl w:val="7750A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770204C"/>
    <w:multiLevelType w:val="hybridMultilevel"/>
    <w:tmpl w:val="1BD649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65E54BA"/>
    <w:multiLevelType w:val="hybridMultilevel"/>
    <w:tmpl w:val="4A72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857334"/>
    <w:multiLevelType w:val="hybridMultilevel"/>
    <w:tmpl w:val="E0B62F02"/>
    <w:lvl w:ilvl="0" w:tplc="E44238FC">
      <w:start w:val="1"/>
      <w:numFmt w:val="decimal"/>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1"/>
  </w:num>
  <w:num w:numId="6">
    <w:abstractNumId w:val="10"/>
  </w:num>
  <w:num w:numId="7">
    <w:abstractNumId w:val="13"/>
  </w:num>
  <w:num w:numId="8">
    <w:abstractNumId w:val="17"/>
  </w:num>
  <w:num w:numId="9">
    <w:abstractNumId w:val="15"/>
  </w:num>
  <w:num w:numId="10">
    <w:abstractNumId w:val="14"/>
  </w:num>
  <w:num w:numId="11">
    <w:abstractNumId w:val="5"/>
  </w:num>
  <w:num w:numId="12">
    <w:abstractNumId w:val="16"/>
  </w:num>
  <w:num w:numId="13">
    <w:abstractNumId w:val="12"/>
  </w:num>
  <w:num w:numId="14">
    <w:abstractNumId w:val="11"/>
  </w:num>
  <w:num w:numId="15">
    <w:abstractNumId w:val="8"/>
  </w:num>
  <w:num w:numId="16">
    <w:abstractNumId w:val="19"/>
  </w:num>
  <w:num w:numId="17">
    <w:abstractNumId w:val="2"/>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0104"/>
    <w:rsid w:val="00012A86"/>
    <w:rsid w:val="0003382D"/>
    <w:rsid w:val="000404C7"/>
    <w:rsid w:val="00041DB8"/>
    <w:rsid w:val="0004507F"/>
    <w:rsid w:val="0005011F"/>
    <w:rsid w:val="00066B73"/>
    <w:rsid w:val="00067AA5"/>
    <w:rsid w:val="00071DD7"/>
    <w:rsid w:val="000A15B5"/>
    <w:rsid w:val="000A2B07"/>
    <w:rsid w:val="000B75BB"/>
    <w:rsid w:val="000E242F"/>
    <w:rsid w:val="000E3BA6"/>
    <w:rsid w:val="000E4434"/>
    <w:rsid w:val="000F7431"/>
    <w:rsid w:val="00104FD6"/>
    <w:rsid w:val="00120AB1"/>
    <w:rsid w:val="001271C6"/>
    <w:rsid w:val="00155CC0"/>
    <w:rsid w:val="00162BA1"/>
    <w:rsid w:val="001675AB"/>
    <w:rsid w:val="0017083A"/>
    <w:rsid w:val="0017303C"/>
    <w:rsid w:val="001746CE"/>
    <w:rsid w:val="001761B2"/>
    <w:rsid w:val="00187B83"/>
    <w:rsid w:val="00197ACD"/>
    <w:rsid w:val="001B3FC7"/>
    <w:rsid w:val="001B6863"/>
    <w:rsid w:val="001C04FD"/>
    <w:rsid w:val="001E2767"/>
    <w:rsid w:val="002214C6"/>
    <w:rsid w:val="00231883"/>
    <w:rsid w:val="00246C94"/>
    <w:rsid w:val="002514F3"/>
    <w:rsid w:val="002567CA"/>
    <w:rsid w:val="00283921"/>
    <w:rsid w:val="00284DA2"/>
    <w:rsid w:val="002852F7"/>
    <w:rsid w:val="002871C8"/>
    <w:rsid w:val="0029526D"/>
    <w:rsid w:val="002A432A"/>
    <w:rsid w:val="002A6BC2"/>
    <w:rsid w:val="002A7DE2"/>
    <w:rsid w:val="002D4665"/>
    <w:rsid w:val="002E7439"/>
    <w:rsid w:val="00313E09"/>
    <w:rsid w:val="00322F01"/>
    <w:rsid w:val="00326545"/>
    <w:rsid w:val="00326F34"/>
    <w:rsid w:val="0035196A"/>
    <w:rsid w:val="003A2300"/>
    <w:rsid w:val="003B06CB"/>
    <w:rsid w:val="003C0A3A"/>
    <w:rsid w:val="003D3972"/>
    <w:rsid w:val="003D6774"/>
    <w:rsid w:val="003F07D8"/>
    <w:rsid w:val="004044AA"/>
    <w:rsid w:val="00414F49"/>
    <w:rsid w:val="00421A9F"/>
    <w:rsid w:val="004363B8"/>
    <w:rsid w:val="0043708D"/>
    <w:rsid w:val="00442474"/>
    <w:rsid w:val="00462C07"/>
    <w:rsid w:val="00463FD0"/>
    <w:rsid w:val="00465708"/>
    <w:rsid w:val="004769A2"/>
    <w:rsid w:val="00484E03"/>
    <w:rsid w:val="00486499"/>
    <w:rsid w:val="004947F2"/>
    <w:rsid w:val="004A186B"/>
    <w:rsid w:val="004A554C"/>
    <w:rsid w:val="004C4847"/>
    <w:rsid w:val="00501208"/>
    <w:rsid w:val="00507CEC"/>
    <w:rsid w:val="0051665C"/>
    <w:rsid w:val="005357CC"/>
    <w:rsid w:val="00536F8B"/>
    <w:rsid w:val="00544DC1"/>
    <w:rsid w:val="00561459"/>
    <w:rsid w:val="0058371D"/>
    <w:rsid w:val="00583D7D"/>
    <w:rsid w:val="005A1D6A"/>
    <w:rsid w:val="005A3265"/>
    <w:rsid w:val="005A6119"/>
    <w:rsid w:val="005B54AF"/>
    <w:rsid w:val="005D0C92"/>
    <w:rsid w:val="00620538"/>
    <w:rsid w:val="00621209"/>
    <w:rsid w:val="0062628D"/>
    <w:rsid w:val="00631B13"/>
    <w:rsid w:val="00651F45"/>
    <w:rsid w:val="00672E62"/>
    <w:rsid w:val="00682AB3"/>
    <w:rsid w:val="006A499E"/>
    <w:rsid w:val="006B4222"/>
    <w:rsid w:val="006B5029"/>
    <w:rsid w:val="006C565D"/>
    <w:rsid w:val="006C6834"/>
    <w:rsid w:val="006E198A"/>
    <w:rsid w:val="006E4324"/>
    <w:rsid w:val="006E7FB1"/>
    <w:rsid w:val="006F7A8A"/>
    <w:rsid w:val="00705E5E"/>
    <w:rsid w:val="007114AE"/>
    <w:rsid w:val="007268AD"/>
    <w:rsid w:val="007359AA"/>
    <w:rsid w:val="00736AA2"/>
    <w:rsid w:val="00737F27"/>
    <w:rsid w:val="00741B9E"/>
    <w:rsid w:val="00751EE1"/>
    <w:rsid w:val="00761442"/>
    <w:rsid w:val="00763442"/>
    <w:rsid w:val="007653BF"/>
    <w:rsid w:val="007676BE"/>
    <w:rsid w:val="00772EDB"/>
    <w:rsid w:val="00785A30"/>
    <w:rsid w:val="00791941"/>
    <w:rsid w:val="007B42CA"/>
    <w:rsid w:val="007B5C8F"/>
    <w:rsid w:val="007C2F04"/>
    <w:rsid w:val="007E62E4"/>
    <w:rsid w:val="00805E3E"/>
    <w:rsid w:val="008313B8"/>
    <w:rsid w:val="0083697B"/>
    <w:rsid w:val="008372EB"/>
    <w:rsid w:val="00847AE7"/>
    <w:rsid w:val="008539D6"/>
    <w:rsid w:val="00867CB6"/>
    <w:rsid w:val="00881F16"/>
    <w:rsid w:val="008857DF"/>
    <w:rsid w:val="008A1EC6"/>
    <w:rsid w:val="008B2F67"/>
    <w:rsid w:val="008C1853"/>
    <w:rsid w:val="008C7665"/>
    <w:rsid w:val="008E16BC"/>
    <w:rsid w:val="00903255"/>
    <w:rsid w:val="009175E8"/>
    <w:rsid w:val="009202C8"/>
    <w:rsid w:val="00932AC8"/>
    <w:rsid w:val="009602CA"/>
    <w:rsid w:val="0096274C"/>
    <w:rsid w:val="00975C23"/>
    <w:rsid w:val="009764C4"/>
    <w:rsid w:val="00982E18"/>
    <w:rsid w:val="00986BB4"/>
    <w:rsid w:val="009A59F4"/>
    <w:rsid w:val="009A5BAD"/>
    <w:rsid w:val="009A644E"/>
    <w:rsid w:val="009A67CA"/>
    <w:rsid w:val="009A7F7B"/>
    <w:rsid w:val="009B2279"/>
    <w:rsid w:val="009C0B5B"/>
    <w:rsid w:val="009D71E8"/>
    <w:rsid w:val="00A244DA"/>
    <w:rsid w:val="00A31709"/>
    <w:rsid w:val="00A31A3A"/>
    <w:rsid w:val="00A374C9"/>
    <w:rsid w:val="00A64F35"/>
    <w:rsid w:val="00A7139F"/>
    <w:rsid w:val="00A74B8E"/>
    <w:rsid w:val="00AA4201"/>
    <w:rsid w:val="00AD4FA8"/>
    <w:rsid w:val="00AE07FB"/>
    <w:rsid w:val="00AF1E2F"/>
    <w:rsid w:val="00AF30C9"/>
    <w:rsid w:val="00B02521"/>
    <w:rsid w:val="00B0561C"/>
    <w:rsid w:val="00B10F97"/>
    <w:rsid w:val="00B15404"/>
    <w:rsid w:val="00B16B0D"/>
    <w:rsid w:val="00B23814"/>
    <w:rsid w:val="00B243C4"/>
    <w:rsid w:val="00B25294"/>
    <w:rsid w:val="00B418C2"/>
    <w:rsid w:val="00B41A6A"/>
    <w:rsid w:val="00B51372"/>
    <w:rsid w:val="00B75E49"/>
    <w:rsid w:val="00B9127C"/>
    <w:rsid w:val="00BA3199"/>
    <w:rsid w:val="00BB1E72"/>
    <w:rsid w:val="00BB2274"/>
    <w:rsid w:val="00BC0A84"/>
    <w:rsid w:val="00BC0B05"/>
    <w:rsid w:val="00BC3DA0"/>
    <w:rsid w:val="00BD06FA"/>
    <w:rsid w:val="00BD7417"/>
    <w:rsid w:val="00BE1237"/>
    <w:rsid w:val="00BF0972"/>
    <w:rsid w:val="00C33840"/>
    <w:rsid w:val="00C6401E"/>
    <w:rsid w:val="00C72997"/>
    <w:rsid w:val="00C732A8"/>
    <w:rsid w:val="00C90A25"/>
    <w:rsid w:val="00C90BA7"/>
    <w:rsid w:val="00CB0D62"/>
    <w:rsid w:val="00CB41C1"/>
    <w:rsid w:val="00CB4557"/>
    <w:rsid w:val="00CB74F6"/>
    <w:rsid w:val="00CC6309"/>
    <w:rsid w:val="00CE0965"/>
    <w:rsid w:val="00D03516"/>
    <w:rsid w:val="00D23D2C"/>
    <w:rsid w:val="00D33FE5"/>
    <w:rsid w:val="00D367C5"/>
    <w:rsid w:val="00D46FDD"/>
    <w:rsid w:val="00D51AD6"/>
    <w:rsid w:val="00D77101"/>
    <w:rsid w:val="00D86F38"/>
    <w:rsid w:val="00D90BD7"/>
    <w:rsid w:val="00D96E33"/>
    <w:rsid w:val="00DA18C1"/>
    <w:rsid w:val="00DB2373"/>
    <w:rsid w:val="00DB53A7"/>
    <w:rsid w:val="00DB68FE"/>
    <w:rsid w:val="00DD0E4A"/>
    <w:rsid w:val="00DD1FA9"/>
    <w:rsid w:val="00DD4E93"/>
    <w:rsid w:val="00DE4FB6"/>
    <w:rsid w:val="00DF01F1"/>
    <w:rsid w:val="00DF7B8E"/>
    <w:rsid w:val="00E1791A"/>
    <w:rsid w:val="00E20FA8"/>
    <w:rsid w:val="00E40B95"/>
    <w:rsid w:val="00E63989"/>
    <w:rsid w:val="00E66558"/>
    <w:rsid w:val="00E765D8"/>
    <w:rsid w:val="00E7683D"/>
    <w:rsid w:val="00EB4146"/>
    <w:rsid w:val="00EB547E"/>
    <w:rsid w:val="00EE02D8"/>
    <w:rsid w:val="00EE4726"/>
    <w:rsid w:val="00EF5724"/>
    <w:rsid w:val="00EF6AC5"/>
    <w:rsid w:val="00F0222A"/>
    <w:rsid w:val="00F054F3"/>
    <w:rsid w:val="00F17A9A"/>
    <w:rsid w:val="00F60142"/>
    <w:rsid w:val="00F61355"/>
    <w:rsid w:val="00F64278"/>
    <w:rsid w:val="00F666F3"/>
    <w:rsid w:val="00F730AA"/>
    <w:rsid w:val="00F77A0C"/>
    <w:rsid w:val="00F91444"/>
    <w:rsid w:val="00F92763"/>
    <w:rsid w:val="00F92D6D"/>
    <w:rsid w:val="00FB60FA"/>
    <w:rsid w:val="00FC176C"/>
    <w:rsid w:val="00FC30D7"/>
    <w:rsid w:val="00FE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B23814"/>
    <w:pPr>
      <w:autoSpaceDN/>
    </w:pPr>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4654">
      <w:bodyDiv w:val="1"/>
      <w:marLeft w:val="0"/>
      <w:marRight w:val="0"/>
      <w:marTop w:val="0"/>
      <w:marBottom w:val="0"/>
      <w:divBdr>
        <w:top w:val="none" w:sz="0" w:space="0" w:color="auto"/>
        <w:left w:val="none" w:sz="0" w:space="0" w:color="auto"/>
        <w:bottom w:val="none" w:sz="0" w:space="0" w:color="auto"/>
        <w:right w:val="none" w:sz="0" w:space="0" w:color="auto"/>
      </w:divBdr>
    </w:div>
    <w:div w:id="447941906">
      <w:bodyDiv w:val="1"/>
      <w:marLeft w:val="0"/>
      <w:marRight w:val="0"/>
      <w:marTop w:val="0"/>
      <w:marBottom w:val="0"/>
      <w:divBdr>
        <w:top w:val="none" w:sz="0" w:space="0" w:color="auto"/>
        <w:left w:val="none" w:sz="0" w:space="0" w:color="auto"/>
        <w:bottom w:val="none" w:sz="0" w:space="0" w:color="auto"/>
        <w:right w:val="none" w:sz="0" w:space="0" w:color="auto"/>
      </w:divBdr>
    </w:div>
    <w:div w:id="1571843178">
      <w:bodyDiv w:val="1"/>
      <w:marLeft w:val="0"/>
      <w:marRight w:val="0"/>
      <w:marTop w:val="0"/>
      <w:marBottom w:val="0"/>
      <w:divBdr>
        <w:top w:val="none" w:sz="0" w:space="0" w:color="auto"/>
        <w:left w:val="none" w:sz="0" w:space="0" w:color="auto"/>
        <w:bottom w:val="none" w:sz="0" w:space="0" w:color="auto"/>
        <w:right w:val="none" w:sz="0" w:space="0" w:color="auto"/>
      </w:divBdr>
    </w:div>
    <w:div w:id="1917932624">
      <w:bodyDiv w:val="1"/>
      <w:marLeft w:val="0"/>
      <w:marRight w:val="0"/>
      <w:marTop w:val="0"/>
      <w:marBottom w:val="0"/>
      <w:divBdr>
        <w:top w:val="none" w:sz="0" w:space="0" w:color="auto"/>
        <w:left w:val="none" w:sz="0" w:space="0" w:color="auto"/>
        <w:bottom w:val="none" w:sz="0" w:space="0" w:color="auto"/>
        <w:right w:val="none" w:sz="0" w:space="0" w:color="auto"/>
      </w:divBdr>
    </w:div>
    <w:div w:id="197528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small-group-tuition/"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one-to-one-tu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Sarah Leon-Leon</cp:lastModifiedBy>
  <cp:revision>2</cp:revision>
  <cp:lastPrinted>2014-09-17T13:26:00Z</cp:lastPrinted>
  <dcterms:created xsi:type="dcterms:W3CDTF">2022-09-29T13:16:00Z</dcterms:created>
  <dcterms:modified xsi:type="dcterms:W3CDTF">2022-09-29T13:16:00Z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